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5975D" w14:textId="1BC5818D" w:rsidR="00A201C6" w:rsidRPr="00951051" w:rsidRDefault="00A201C6" w:rsidP="00A201C6">
      <w:pPr>
        <w:spacing w:before="280" w:after="280"/>
        <w:jc w:val="center"/>
        <w:rPr>
          <w:rFonts w:ascii="Bliss Pro ExtraLight" w:hAnsi="Bliss Pro ExtraLight"/>
          <w:lang w:val="en-US"/>
        </w:rPr>
      </w:pPr>
      <w:r w:rsidRPr="00951051">
        <w:rPr>
          <w:rFonts w:ascii="Bliss Pro ExtraLight" w:eastAsia="Titillium" w:hAnsi="Bliss Pro ExtraLight" w:cs="Titillium"/>
          <w:color w:val="2E5395"/>
          <w:sz w:val="32"/>
          <w:szCs w:val="32"/>
          <w:lang w:val="en-US"/>
        </w:rPr>
        <w:t>National Center for Gene Therapy and Drugs based on RNA Technology (CN RNA &amp; Gene Therapy)</w:t>
      </w:r>
    </w:p>
    <w:p w14:paraId="00000154" w14:textId="71A70F5F" w:rsidR="00C84822" w:rsidRPr="00951051" w:rsidRDefault="00951051" w:rsidP="00017D44">
      <w:pPr>
        <w:spacing w:before="280" w:after="280"/>
        <w:rPr>
          <w:rFonts w:ascii="Bliss Pro ExtraLight" w:eastAsia="Titillium" w:hAnsi="Bliss Pro ExtraLight" w:cs="Titillium"/>
          <w:color w:val="2E5395"/>
          <w:sz w:val="32"/>
          <w:szCs w:val="32"/>
        </w:rPr>
      </w:pPr>
      <w:sdt>
        <w:sdtPr>
          <w:rPr>
            <w:rFonts w:ascii="Bliss Pro ExtraLight" w:hAnsi="Bliss Pro ExtraLight"/>
          </w:rPr>
          <w:tag w:val="goog_rdk_6"/>
          <w:id w:val="743312748"/>
          <w:showingPlcHdr/>
        </w:sdtPr>
        <w:sdtEndPr/>
        <w:sdtContent>
          <w:r w:rsidR="00A201C6" w:rsidRPr="00951051">
            <w:rPr>
              <w:rFonts w:ascii="Bliss Pro ExtraLight" w:hAnsi="Bliss Pro ExtraLight"/>
            </w:rPr>
            <w:t xml:space="preserve">     </w:t>
          </w:r>
        </w:sdtContent>
      </w:sdt>
      <w:r w:rsidR="00C9650D" w:rsidRPr="00951051">
        <w:rPr>
          <w:rFonts w:ascii="Bliss Pro ExtraLight" w:eastAsia="Titillium" w:hAnsi="Bliss Pro ExtraLight" w:cs="Titillium"/>
          <w:color w:val="2E5395"/>
          <w:sz w:val="32"/>
          <w:szCs w:val="32"/>
        </w:rPr>
        <w:t>Allegato 2 – Definizioni</w:t>
      </w:r>
    </w:p>
    <w:p w14:paraId="2F33F3D6" w14:textId="77777777" w:rsidR="005D6B0E" w:rsidRPr="00951051" w:rsidRDefault="005D6B0E" w:rsidP="005D6B0E">
      <w:p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Ai fini del presente bando, sono adottate le seguenti definizioni:</w:t>
      </w:r>
    </w:p>
    <w:p w14:paraId="0E7B1F25"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Aiuti di Stato</w:t>
      </w:r>
      <w:r w:rsidRPr="00951051">
        <w:rPr>
          <w:rFonts w:ascii="Bliss Pro ExtraLight" w:eastAsia="Titillium" w:hAnsi="Bliss Pro ExtraLight" w:cs="Titillium"/>
        </w:rPr>
        <w:t>”: qualsiasi misura che risponda ai criteri stabiliti all’articolo 107, paragrafo 1 del trattato sul funzionamento dell’Unione Europa: “a</w:t>
      </w:r>
      <w:bookmarkStart w:id="0" w:name="_GoBack"/>
      <w:bookmarkEnd w:id="0"/>
      <w:r w:rsidRPr="00951051">
        <w:rPr>
          <w:rFonts w:ascii="Bliss Pro ExtraLight" w:eastAsia="Titillium" w:hAnsi="Bliss Pro ExtraLight" w:cs="Titillium"/>
        </w:rPr>
        <w:t>iuti concessi dagli Stati, ovvero mediante risorse statali, sotto qualsiasi forma che, favorendo talune imprese o talune produzioni, falsino o minaccino di falsare la concorrenza.”.</w:t>
      </w:r>
    </w:p>
    <w:p w14:paraId="246692B4"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iCs/>
        </w:rPr>
      </w:pPr>
      <w:r w:rsidRPr="00951051">
        <w:rPr>
          <w:rFonts w:ascii="Bliss Pro ExtraLight" w:eastAsia="Titillium" w:hAnsi="Bliss Pro ExtraLight" w:cs="Titillium"/>
          <w:iCs/>
        </w:rPr>
        <w:t>“</w:t>
      </w:r>
      <w:r w:rsidRPr="00951051">
        <w:rPr>
          <w:rFonts w:ascii="Bliss Pro ExtraLight" w:eastAsia="Titillium" w:hAnsi="Bliss Pro ExtraLight" w:cs="Titillium"/>
          <w:b/>
          <w:bCs/>
          <w:iCs/>
        </w:rPr>
        <w:t>Bandi a cascata</w:t>
      </w:r>
      <w:r w:rsidRPr="00951051">
        <w:rPr>
          <w:rFonts w:ascii="Bliss Pro ExtraLight" w:eastAsia="Titillium" w:hAnsi="Bliss Pro ExtraLight" w:cs="Titillium"/>
          <w:iCs/>
        </w:rPr>
        <w:t>” (cascading grants): rappresentano i bandi attivati dai soli Spoke di natura pubblica ai sensi dell’art. 5 dell’Avviso pubblico n. 3138 del 16/12/2021.</w:t>
      </w:r>
    </w:p>
    <w:p w14:paraId="0E16C914"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Bandi a cascata</w:t>
      </w:r>
      <w:r w:rsidRPr="00951051">
        <w:rPr>
          <w:rFonts w:ascii="Bliss Pro ExtraLight" w:eastAsia="Titillium" w:hAnsi="Bliss Pro ExtraLight" w:cs="Titillium"/>
        </w:rPr>
        <w:t xml:space="preserve">”: procedure competitive emanate dagli Spoke di natura pubblica di un Centro Nazionale, nel rispetto delle disposizioni sugli aiuti di Stato, sui concorsi e sui contratti pubblici, nonché delle altre norme comunitarie e nazionali applicabili, per il reclutamento di ricercatori e tecnologi a tempo determinato, per la concessione a soggetti esterni al CN di finanziamenti per attività di ricerca e per l’acquisto di forniture, beni e servizi necessari alla sua attuazione; </w:t>
      </w:r>
    </w:p>
    <w:p w14:paraId="1B2CB4E6"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Componente</w:t>
      </w:r>
      <w:r w:rsidRPr="00951051">
        <w:rPr>
          <w:rFonts w:ascii="Bliss Pro ExtraLight" w:eastAsia="Titillium" w:hAnsi="Bliss Pro ExtraLight" w:cs="Titillium"/>
        </w:rPr>
        <w:t xml:space="preserve">” Elemento costitutivo o parte del PNRR che riflette riforme e priorità di investimento correlate ad un’area di intervento, ad un settore, ad un ambito, ad un’attività, allo scopo di affrontare sfide specifiche e si articola in una o più misure </w:t>
      </w:r>
    </w:p>
    <w:p w14:paraId="1D248A9D"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CUP</w:t>
      </w:r>
      <w:r w:rsidRPr="00951051">
        <w:rPr>
          <w:rFonts w:ascii="Bliss Pro ExtraLight" w:eastAsia="Titillium" w:hAnsi="Bliss Pro ExtraLight" w:cs="Titillium"/>
        </w:rPr>
        <w:t xml:space="preserve">” Il Codice Unico di Progetto (CUP) è il codice che identifica un progetto d'investimento pubblico ed è lo strumento cardine per il funzionamento del Sistema di Monitoraggio degli Investimenti Pubblici </w:t>
      </w:r>
    </w:p>
    <w:p w14:paraId="1DE65F36"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CV</w:t>
      </w:r>
      <w:r w:rsidRPr="00951051">
        <w:rPr>
          <w:rFonts w:ascii="Bliss Pro ExtraLight" w:eastAsia="Titillium" w:hAnsi="Bliss Pro ExtraLight" w:cs="Titillium"/>
        </w:rPr>
        <w:t>”: Commissione di Valutazione,</w:t>
      </w:r>
      <w:r w:rsidRPr="00951051">
        <w:rPr>
          <w:rFonts w:ascii="Bliss Pro ExtraLight" w:hAnsi="Bliss Pro ExtraLight"/>
        </w:rPr>
        <w:t xml:space="preserve"> </w:t>
      </w:r>
      <w:r w:rsidRPr="00951051">
        <w:rPr>
          <w:rFonts w:ascii="Bliss Pro ExtraLight" w:eastAsia="Titillium" w:hAnsi="Bliss Pro ExtraLight" w:cs="Titillium"/>
        </w:rPr>
        <w:t xml:space="preserve">appositamente nominata da IIT, composta da n. 5 componenti e volta a svolgere le valutazioni delle proposte progettuali presentate. </w:t>
      </w:r>
    </w:p>
    <w:p w14:paraId="29DF5A9C"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Do No Significant Harm (DNSH)</w:t>
      </w:r>
      <w:r w:rsidRPr="00951051">
        <w:rPr>
          <w:rFonts w:ascii="Bliss Pro ExtraLight" w:eastAsia="Titillium" w:hAnsi="Bliss Pro ExtraLight" w:cs="Titillium"/>
        </w:rPr>
        <w:t xml:space="preserve">”: principio del “non arrecare danno significativo” secondo il quale nessuna misura finanziata dagli avvisi deve arrecare danno agli obiettivi ambientali, in coerenza con l'articolo 17 del Regolamento (UE) 2020/852. Tale principio è teso a provare che gli investimenti e le riforme previste non ostacolino la mitigazione dei cambiamenti climatici; </w:t>
      </w:r>
    </w:p>
    <w:p w14:paraId="78A3CACA"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color w:val="000000"/>
        </w:rPr>
      </w:pPr>
      <w:r w:rsidRPr="00951051">
        <w:rPr>
          <w:rFonts w:ascii="Bliss Pro ExtraLight" w:eastAsia="Titillium" w:hAnsi="Bliss Pro ExtraLight" w:cs="Titillium"/>
        </w:rPr>
        <w:t>“</w:t>
      </w:r>
      <w:r w:rsidRPr="00951051">
        <w:rPr>
          <w:rFonts w:ascii="Bliss Pro ExtraLight" w:eastAsia="Titillium" w:hAnsi="Bliss Pro ExtraLight" w:cs="Titillium"/>
          <w:b/>
          <w:bCs/>
        </w:rPr>
        <w:t>Grandi Imprese</w:t>
      </w:r>
      <w:r w:rsidRPr="00951051">
        <w:rPr>
          <w:rFonts w:ascii="Bliss Pro ExtraLight" w:eastAsia="Titillium" w:hAnsi="Bliss Pro ExtraLight" w:cs="Titillium"/>
        </w:rPr>
        <w:t xml:space="preserve">”: imprese che non soddisfano i criteri di cui all'allegato 1 del Regolamento (UE) N. 651/2014 della Commissione, del 17 giugno 2014, pubblicato nella Gazzetta Ufficiale dell’Unione europea L 187 del 26 giugno 2014. 4) </w:t>
      </w:r>
    </w:p>
    <w:p w14:paraId="3EA7A975"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lastRenderedPageBreak/>
        <w:t>“</w:t>
      </w:r>
      <w:r w:rsidRPr="00951051">
        <w:rPr>
          <w:rFonts w:ascii="Bliss Pro ExtraLight" w:eastAsia="Titillium" w:hAnsi="Bliss Pro ExtraLight" w:cs="Titillium"/>
          <w:b/>
          <w:bCs/>
        </w:rPr>
        <w:t>Impresa in difficoltà</w:t>
      </w:r>
      <w:r w:rsidRPr="00951051">
        <w:rPr>
          <w:rFonts w:ascii="Bliss Pro ExtraLight" w:eastAsia="Titillium" w:hAnsi="Bliss Pro ExtraLight" w:cs="Titillium"/>
        </w:rPr>
        <w:t>”: un'impresa che soddisfa almeno una delle seguenti circostanze (art. 2, comma 18 Regolamento (UE) n. 651/2014): 32 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 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c) qualora l'impresa sia oggetto di procedura concorsuale per insolvenza o soddisfi le condizioni previste dal diritto nazionale per l'apertura nei suoi confronti di una tale procedura su richiesta dei suoi creditori o su iniziativa dell’impresa stessa; d) qualora l'impresa abbia ricevuto un aiuto per il salvataggio e non abbia ancora rimborsato il prestito o revocato la garanzia, o abbia ricevuto un aiuto per la ristrutturazione e sia ancora soggetta a un piano di ristrutturazione; e) nel caso di un'impresa diversa da una PMI, qualora, negli ultimi due anni: 1) il rapporto debito/patrimonio netto contabile dell'impresa sia stato superiore a 7,5; e 2) il quoziente di copertura degli interessi dell'impresa (EBITDA/interessi) sia stato inferiore a 1,0.</w:t>
      </w:r>
    </w:p>
    <w:p w14:paraId="411CD3EE"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Intensità di Aiuto</w:t>
      </w:r>
      <w:r w:rsidRPr="00951051">
        <w:rPr>
          <w:rFonts w:ascii="Bliss Pro ExtraLight" w:eastAsia="Titillium" w:hAnsi="Bliss Pro ExtraLight" w:cs="Titillium"/>
        </w:rPr>
        <w:t>”: importo lordo dell'aiuto espresso come percentuale dei costi ammissibili, al lordo di imposte o altri oneri, ai sensi dell'articolo 2 comma 1 punto 26) del Regolamento 651/2014 e ss.mm.ii.;</w:t>
      </w:r>
    </w:p>
    <w:p w14:paraId="09FB36EB"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Micro, Piccole e Medie imprese</w:t>
      </w:r>
      <w:r w:rsidRPr="00951051">
        <w:rPr>
          <w:rFonts w:ascii="Bliss Pro ExtraLight" w:eastAsia="Titillium" w:hAnsi="Bliss Pro ExtraLight" w:cs="Titillium"/>
        </w:rPr>
        <w:t xml:space="preserve">”: secondo la definizione dell’Allegato 1 del Regolamento (UE) n. 651/2014 a cui si rimanda e di cui si sintetizza di seguito la definizione: Micro impresa: impresa che ha meno di 10 occupati (conteggiati con il criterio delle ULA, unità lavorative annue) e soddisfa almeno </w:t>
      </w:r>
      <w:r w:rsidRPr="00951051">
        <w:rPr>
          <w:rFonts w:ascii="Bliss Pro ExtraLight" w:eastAsia="Titillium" w:hAnsi="Bliss Pro ExtraLight" w:cs="Titillium"/>
        </w:rPr>
        <w:lastRenderedPageBreak/>
        <w:t>una delle due seguenti condizioni aggiuntive: a) ha un fatturato inferiore a 2 milioni di euro, o b) ha un totale di bilancio inferiore a 2 milioni di euro. Piccola impresa: impresa che ha meno di 50 occupati (conteggiati con il criterio delle ULA, unità lavorative annue) e soddisfa almeno una delle due seguenti condizioni aggiuntive: a) ha un fatturato inferiore a 10 milioni di euro, o b) ha un totale di bilancio inferiore a 10 milioni di euro. Media impresa: impresa che ha meno di 250 occupati (conteggiati con il criterio delle ULA, unità lavorative annue) e soddisfa almeno una delle due seguenti condizioni aggiuntive: a) ha un fatturato inferiore a 50 milioni di euro, o b) ha un totale di bilancio inferiore a 43 milioni di euro. Nel conteggio dei dati sugli occupati, sul fatturato e sul totale di bilancio vanno aggiunti: • i dati delle eventuali società associate alla MPMI beneficiaria, in proporzione alla quota di partecipazione al capitale; • i dati delle eventuali società collegate alla MPMI beneficiaria, nella loro interezza. Per una illustrazione completa dei rapporti di associazione e collegamento si rimanda alla guida alla definizione di MPMI della Commissione Europea, che può essere consultata a partire da questo indirizzo: https://ec.europa.eu/docsroom/documents/42921/attachments/1/translations/it/renditions/native#:~:text =La%20categoria%20delle%20micro%2C%20piccole,i%2043%20milioni%20di%20euro.</w:t>
      </w:r>
    </w:p>
    <w:p w14:paraId="0576869A"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Missione</w:t>
      </w:r>
      <w:r w:rsidRPr="00951051">
        <w:rPr>
          <w:rFonts w:ascii="Bliss Pro ExtraLight" w:eastAsia="Titillium" w:hAnsi="Bliss Pro ExtraLight" w:cs="Titillium"/>
        </w:rPr>
        <w:t xml:space="preserve">” Risposta, organizzata secondo macro-obiettivi generali e aree di intervento, rispetto alle sfide economiche-sociali che si intendono affrontare con il PNRR e articolata in Componenti. Le sei Missioni del Piano rappresentano aree “tematiche” strutturali di intervento (Digitalizzazione, innovazione, competitività e cultura; Rivoluzione verde e transizione ecologica; Infrastrutture per una mobilità sostenibile; Istruzione e ricerca; Inclusione e coesione; Salute) </w:t>
      </w:r>
    </w:p>
    <w:p w14:paraId="2F168263"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MUR</w:t>
      </w:r>
      <w:r w:rsidRPr="00951051">
        <w:rPr>
          <w:rFonts w:ascii="Bliss Pro ExtraLight" w:eastAsia="Titillium" w:hAnsi="Bliss Pro ExtraLight" w:cs="Titillium"/>
        </w:rPr>
        <w:t xml:space="preserve">”: il Ministero dell'Università e della Ricerca nella qualità di Amministrazione centrale titolare della Missione 4 del PNRR, che ha la responsabilità dell’attuazione delle riforme e degli investimenti (ossia delle Misure) ivi previsti e provvede al coordinamento delle attività di gestione, monitoraggio, rendicontazione e controllo relative agli interventi; </w:t>
      </w:r>
    </w:p>
    <w:p w14:paraId="0D94CB89"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PMI</w:t>
      </w:r>
      <w:r w:rsidRPr="00951051">
        <w:rPr>
          <w:rFonts w:ascii="Bliss Pro ExtraLight" w:eastAsia="Titillium" w:hAnsi="Bliss Pro ExtraLight" w:cs="Titillium"/>
        </w:rPr>
        <w:t xml:space="preserve">”: le piccole e medie imprese secondo la definizione dell’allegato 1 del Regolamento (UE) n. 651/2014 a cui si rimanda unitamente alla Guida alla definizione di PMI della Commissione Europea, che può essere consultata a questo indirizzo: https://single-market-economy.ec.europa.eu/smes/sme-definition_en “Progetto o Intervento” Specifico progetto/intervento (anche inteso come insieme di attività e/o procedure) selezionato e finanziato nell’ambito del Bando e identificato attraverso un Codice Unico di Progetto (CUP). </w:t>
      </w:r>
    </w:p>
    <w:p w14:paraId="205109C2"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PNRR</w:t>
      </w:r>
      <w:r w:rsidRPr="00951051">
        <w:rPr>
          <w:rFonts w:ascii="Bliss Pro ExtraLight" w:eastAsia="Titillium" w:hAnsi="Bliss Pro ExtraLight" w:cs="Titillium"/>
        </w:rPr>
        <w:t xml:space="preserve">”: Piano Nazionale per la Ripresa e la Resilienza presentato dall’Italia a norma del Regolamento (UE) 2021/241 approvato con Decisione del Consiglio ECOFIN del 13 luglio 2021 e notificata all’Italia dal Segretariato generale del Consiglio con nota LT161/21, del 14 luglio 2021; </w:t>
      </w:r>
    </w:p>
    <w:p w14:paraId="5FF019C9"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lastRenderedPageBreak/>
        <w:t>“</w:t>
      </w:r>
      <w:r w:rsidRPr="00951051">
        <w:rPr>
          <w:rFonts w:ascii="Bliss Pro ExtraLight" w:eastAsia="Titillium" w:hAnsi="Bliss Pro ExtraLight" w:cs="Titillium"/>
          <w:b/>
          <w:bCs/>
        </w:rPr>
        <w:t>Rendicontazione delle Spese</w:t>
      </w:r>
      <w:r w:rsidRPr="00951051">
        <w:rPr>
          <w:rFonts w:ascii="Bliss Pro ExtraLight" w:eastAsia="Titillium" w:hAnsi="Bliss Pro ExtraLight" w:cs="Titillium"/>
        </w:rPr>
        <w:t xml:space="preserve">” Attività necessaria a comprovare la corretta esecuzione finanziaria del progetto. </w:t>
      </w:r>
    </w:p>
    <w:p w14:paraId="191A2AB5"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Ricerca Fondamentale</w:t>
      </w:r>
      <w:r w:rsidRPr="00951051">
        <w:rPr>
          <w:rFonts w:ascii="Bliss Pro ExtraLight" w:eastAsia="Titillium" w:hAnsi="Bliss Pro ExtraLight" w:cs="Titillium"/>
        </w:rPr>
        <w:t>”: lavori sperimentali o teorici svolti soprattutto per acquisire nuove conoscenze sui fondamenti di fenomeni e di fatti osservabili senza che siano previste applicazioni o utilizzazioni commerciali dirette;</w:t>
      </w:r>
    </w:p>
    <w:p w14:paraId="1BE530CE"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Ricerca Industriale</w:t>
      </w:r>
      <w:r w:rsidRPr="00951051">
        <w:rPr>
          <w:rFonts w:ascii="Bliss Pro ExtraLight" w:eastAsia="Titillium" w:hAnsi="Bliss Pro ExtraLight" w:cs="Titillium"/>
        </w:rPr>
        <w:t>”: ricerca pianificata o indagini critiche miranti ad acquisire nuove conoscenze e capacità da utilizzare per sviluppare nuovi prodotti, processi o servizi o per apportare un notevole miglioramento ai prodotti, processi o servizi esistenti, comprendente la creazione di componenti di sistemi complessi. Tale ricerca può includere la costruzione di prototipi in ambiente di laboratorio o in un ambiente dotato di interfacce di simulazione verso sistemi esistenti e la realizzazione di linee pilota, in particolare ai fini della convalida di tecnologie generiche;</w:t>
      </w:r>
    </w:p>
    <w:p w14:paraId="428E1A84"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i/>
        </w:rPr>
        <w:t>“</w:t>
      </w:r>
      <w:r w:rsidRPr="00951051">
        <w:rPr>
          <w:rFonts w:ascii="Bliss Pro ExtraLight" w:eastAsia="Titillium" w:hAnsi="Bliss Pro ExtraLight" w:cs="Titillium"/>
          <w:b/>
          <w:bCs/>
        </w:rPr>
        <w:t>Soggetto attuatore</w:t>
      </w:r>
      <w:r w:rsidRPr="00951051">
        <w:rPr>
          <w:rFonts w:ascii="Bliss Pro ExtraLight" w:eastAsia="Titillium" w:hAnsi="Bliss Pro ExtraLight" w:cs="Titillium"/>
        </w:rPr>
        <w:t>”: indica i soggetti pubblici o privati che provvedono alla realizzazione degli interventi previsti dal PNRR secondo quanto indicato nel decreto-legge 31 maggio 2021, n. 77, convertito con modificazioni dalla legge 29 luglio 2021 n. 108. Tale soggetto è detto anche Hub.</w:t>
      </w:r>
    </w:p>
    <w:p w14:paraId="609BFEF6"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Soggetto Esecutore o Spoke</w:t>
      </w:r>
      <w:r w:rsidRPr="00951051">
        <w:rPr>
          <w:rFonts w:ascii="Bliss Pro ExtraLight" w:eastAsia="Titillium" w:hAnsi="Bliss Pro ExtraLight" w:cs="Titillium"/>
        </w:rPr>
        <w:t>”: indica il soggetto pubblico erogatore dei finanziamenti, coinvolto nella realizzazione del Progetto “National Center for Gene Therapy and Drugs based on RNA Technology Sviluppo di terapia genica e farmaci con tecnologia a RNA”. Codice progetto MUR: CN00000041 – CUP UNINA: E63C22000940007. Nel linguaggio adottato dagli Avvisi MUR tale soggetto è indicato anche come Spoke.  Esso svolge direttamente parte delle attivit</w:t>
      </w:r>
      <w:r w:rsidRPr="00951051">
        <w:rPr>
          <w:rFonts w:ascii="Bliss Pro ExtraLight" w:eastAsia="Titillium" w:hAnsi="Bliss Pro ExtraLight" w:cs="Bliss Pro ExtraLight"/>
        </w:rPr>
        <w:t>à</w:t>
      </w:r>
      <w:r w:rsidRPr="00951051">
        <w:rPr>
          <w:rFonts w:ascii="Bliss Pro ExtraLight" w:eastAsia="Titillium" w:hAnsi="Bliss Pro ExtraLight" w:cs="Titillium"/>
        </w:rPr>
        <w:t xml:space="preserve"> ad essi attribuite dal Progetto e si avvale di altri soggetti per lo svolgimento delle restanti attività: (i) i soggetti affiliati allo Spoke, già noti (ii) soggetti terzi da individuare mediante i bandi a cascata di cui all’art. 5 dell’Avviso del Ministero dell’Università e della Ricerca del 16 dicembre 2021 n. 3138 finalizzato alla creazione di cinque “campioni nazionali” di R&amp;S.</w:t>
      </w:r>
    </w:p>
    <w:p w14:paraId="5B91085F"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Soggetto Proponente</w:t>
      </w:r>
      <w:r w:rsidRPr="00951051">
        <w:rPr>
          <w:rFonts w:ascii="Bliss Pro ExtraLight" w:eastAsia="Titillium" w:hAnsi="Bliss Pro ExtraLight" w:cs="Titillium"/>
        </w:rPr>
        <w:t>”: indica il soggetto che presenta domanda di partecipazione al bando.</w:t>
      </w:r>
    </w:p>
    <w:p w14:paraId="65FAF8A7"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Start-up innovativa</w:t>
      </w:r>
      <w:r w:rsidRPr="00951051">
        <w:rPr>
          <w:rFonts w:ascii="Bliss Pro ExtraLight" w:eastAsia="Titillium" w:hAnsi="Bliss Pro ExtraLight" w:cs="Titillium"/>
        </w:rPr>
        <w:t xml:space="preserve">”: società di capitali così come definita nell’articolo 25 del decreto-legge 18 ottobre 2012, n. 179, convertito con modificazioni dalla L. 17 dicembre 2012, n. 221 e ss.mm.ii.; </w:t>
      </w:r>
    </w:p>
    <w:p w14:paraId="68221E32" w14:textId="77777777" w:rsidR="0046352F" w:rsidRPr="00951051" w:rsidRDefault="0046352F" w:rsidP="005D6B0E">
      <w:pPr>
        <w:pStyle w:val="ListParagraph"/>
        <w:numPr>
          <w:ilvl w:val="0"/>
          <w:numId w:val="26"/>
        </w:numPr>
        <w:spacing w:line="288" w:lineRule="auto"/>
        <w:jc w:val="both"/>
        <w:rPr>
          <w:rFonts w:ascii="Bliss Pro ExtraLight" w:eastAsia="Titillium" w:hAnsi="Bliss Pro ExtraLight" w:cs="Titillium"/>
        </w:rPr>
      </w:pPr>
      <w:r w:rsidRPr="00951051">
        <w:rPr>
          <w:rFonts w:ascii="Bliss Pro ExtraLight" w:eastAsia="Titillium" w:hAnsi="Bliss Pro ExtraLight" w:cs="Titillium"/>
        </w:rPr>
        <w:t>“</w:t>
      </w:r>
      <w:r w:rsidRPr="00951051">
        <w:rPr>
          <w:rFonts w:ascii="Bliss Pro ExtraLight" w:eastAsia="Titillium" w:hAnsi="Bliss Pro ExtraLight" w:cs="Titillium"/>
          <w:b/>
          <w:bCs/>
        </w:rPr>
        <w:t>Sviluppo Sperimentale</w:t>
      </w:r>
      <w:r w:rsidRPr="00951051">
        <w:rPr>
          <w:rFonts w:ascii="Bliss Pro ExtraLight" w:eastAsia="Titillium" w:hAnsi="Bliss Pro ExtraLight" w:cs="Titillium"/>
        </w:rPr>
        <w:t>”: l'acquisizione, la combinazione, la strutturazione e l'utilizzo delle conoscenze e capacità esistenti di natura scientifica, tecnologica, commerciale e di altro tipo allo scopo di sviluppare prodotti, processi o servizi nuovi o migliorati. Rientrano in questa definizione anche altre attività destinate alla definizione concettuale, alla pianificazione e alla documentazione di nuovi prodotti, processi o servizi</w:t>
      </w:r>
    </w:p>
    <w:p w14:paraId="49C1C64B" w14:textId="42BB4EDF" w:rsidR="005D6B0E" w:rsidRPr="00951051" w:rsidRDefault="005D6B0E" w:rsidP="005D6B0E">
      <w:pPr>
        <w:rPr>
          <w:rFonts w:ascii="Bliss Pro ExtraLight" w:eastAsia="Titillium" w:hAnsi="Bliss Pro ExtraLight" w:cs="Titillium"/>
        </w:rPr>
      </w:pPr>
    </w:p>
    <w:sectPr w:rsidR="005D6B0E" w:rsidRPr="00951051">
      <w:headerReference w:type="default" r:id="rId9"/>
      <w:footerReference w:type="default" r:id="rId10"/>
      <w:pgSz w:w="11900" w:h="16840"/>
      <w:pgMar w:top="2919" w:right="701" w:bottom="1134" w:left="1134" w:header="23" w:footer="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A45EB" w14:textId="77777777" w:rsidR="00FD2710" w:rsidRDefault="00FD2710">
      <w:r>
        <w:separator/>
      </w:r>
    </w:p>
  </w:endnote>
  <w:endnote w:type="continuationSeparator" w:id="0">
    <w:p w14:paraId="543CF3B3" w14:textId="77777777" w:rsidR="00FD2710" w:rsidRDefault="00FD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tillium">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liss Pro ExtraLight">
    <w:panose1 w:val="02000506040000020004"/>
    <w:charset w:val="00"/>
    <w:family w:val="modern"/>
    <w:notTrueType/>
    <w:pitch w:val="variable"/>
    <w:sig w:usb0="A00002EF" w:usb1="4000205B" w:usb2="00000000" w:usb3="00000000" w:csb0="0000009F" w:csb1="00000000"/>
  </w:font>
  <w:font w:name="Bliss-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03" w14:textId="5A7CA6A0" w:rsidR="001B213C" w:rsidRDefault="00D44C06">
    <w:pPr>
      <w:pBdr>
        <w:top w:val="nil"/>
        <w:left w:val="nil"/>
        <w:bottom w:val="nil"/>
        <w:right w:val="nil"/>
        <w:between w:val="nil"/>
      </w:pBdr>
      <w:tabs>
        <w:tab w:val="center" w:pos="4819"/>
        <w:tab w:val="right" w:pos="9638"/>
      </w:tabs>
      <w:ind w:left="-1134"/>
      <w:rPr>
        <w:color w:val="000000"/>
      </w:rPr>
    </w:pPr>
    <w:r>
      <w:rPr>
        <w:noProof/>
        <w:color w:val="000000"/>
      </w:rPr>
      <w:drawing>
        <wp:anchor distT="0" distB="0" distL="114300" distR="114300" simplePos="0" relativeHeight="251657216" behindDoc="0" locked="0" layoutInCell="1" allowOverlap="1" wp14:anchorId="16F30D30" wp14:editId="202F682B">
          <wp:simplePos x="0" y="0"/>
          <wp:positionH relativeFrom="column">
            <wp:posOffset>5760720</wp:posOffset>
          </wp:positionH>
          <wp:positionV relativeFrom="paragraph">
            <wp:posOffset>481965</wp:posOffset>
          </wp:positionV>
          <wp:extent cx="969645" cy="628015"/>
          <wp:effectExtent l="0" t="0" r="1905" b="635"/>
          <wp:wrapSquare wrapText="bothSides"/>
          <wp:docPr id="31358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628015"/>
                  </a:xfrm>
                  <a:prstGeom prst="rect">
                    <a:avLst/>
                  </a:prstGeom>
                  <a:noFill/>
                </pic:spPr>
              </pic:pic>
            </a:graphicData>
          </a:graphic>
        </wp:anchor>
      </w:drawing>
    </w:r>
    <w:r w:rsidR="00405DE9" w:rsidRPr="00405DE9">
      <w:rPr>
        <w:noProof/>
        <w:color w:val="000000"/>
      </w:rPr>
      <mc:AlternateContent>
        <mc:Choice Requires="wps">
          <w:drawing>
            <wp:anchor distT="45720" distB="45720" distL="114300" distR="114300" simplePos="0" relativeHeight="251661312" behindDoc="0" locked="0" layoutInCell="1" allowOverlap="1" wp14:anchorId="17AF6EA7" wp14:editId="1054A7B7">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77BF27" w14:textId="77777777" w:rsidR="00420F22" w:rsidRDefault="00C70592" w:rsidP="00292DCE">
                          <w:pPr>
                            <w:pStyle w:val="Footer"/>
                            <w:spacing w:line="240" w:lineRule="exact"/>
                            <w:rPr>
                              <w:rFonts w:ascii="Bliss-Regular" w:hAnsi="Bliss-Regular"/>
                              <w:sz w:val="20"/>
                              <w:szCs w:val="20"/>
                            </w:rPr>
                          </w:pPr>
                          <w:r>
                            <w:rPr>
                              <w:rFonts w:ascii="Bliss-Regular" w:hAnsi="Bliss-Regular"/>
                              <w:sz w:val="20"/>
                              <w:szCs w:val="20"/>
                            </w:rPr>
                            <w:t>Fondazione Istituto Italiano di Tecnologia</w:t>
                          </w:r>
                        </w:p>
                        <w:p w14:paraId="7B8105C3" w14:textId="65AA11A1" w:rsidR="00292DCE" w:rsidRPr="0019721E" w:rsidRDefault="00420F22" w:rsidP="00292DCE">
                          <w:pPr>
                            <w:pStyle w:val="Footer"/>
                            <w:spacing w:line="240" w:lineRule="exact"/>
                            <w:rPr>
                              <w:rFonts w:ascii="Bliss-Regular" w:hAnsi="Bliss-Regular"/>
                              <w:sz w:val="20"/>
                              <w:szCs w:val="20"/>
                            </w:rPr>
                          </w:pPr>
                          <w:r>
                            <w:rPr>
                              <w:rFonts w:ascii="Bliss-Regular" w:hAnsi="Bliss-Regular"/>
                              <w:sz w:val="20"/>
                              <w:szCs w:val="20"/>
                            </w:rPr>
                            <w:t xml:space="preserve">Sede Legale: </w:t>
                          </w:r>
                          <w:r w:rsidR="00292DCE">
                            <w:rPr>
                              <w:rFonts w:ascii="Bliss-Regular" w:hAnsi="Bliss-Regular"/>
                              <w:sz w:val="20"/>
                              <w:szCs w:val="20"/>
                            </w:rPr>
                            <w:t>Via Morego 30</w:t>
                          </w:r>
                          <w:r>
                            <w:rPr>
                              <w:rFonts w:ascii="Bliss-Regular" w:hAnsi="Bliss-Regular"/>
                              <w:sz w:val="20"/>
                              <w:szCs w:val="20"/>
                            </w:rPr>
                            <w:t xml:space="preserve"> - </w:t>
                          </w:r>
                          <w:r w:rsidR="00292DCE" w:rsidRPr="0019721E">
                            <w:rPr>
                              <w:rFonts w:ascii="Bliss-Regular" w:hAnsi="Bliss-Regular"/>
                              <w:sz w:val="20"/>
                              <w:szCs w:val="20"/>
                            </w:rPr>
                            <w:t>16163 Genova</w:t>
                          </w:r>
                        </w:p>
                        <w:p w14:paraId="1FC70433" w14:textId="0480D626" w:rsidR="00292DCE" w:rsidRPr="00D44C06" w:rsidRDefault="00292DCE"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Tel</w:t>
                          </w:r>
                          <w:r w:rsidR="009D2151" w:rsidRPr="00D44C06">
                            <w:rPr>
                              <w:rFonts w:ascii="Bliss-Regular" w:hAnsi="Bliss-Regular"/>
                              <w:sz w:val="20"/>
                              <w:szCs w:val="20"/>
                              <w:lang w:val="en-US"/>
                            </w:rPr>
                            <w:t>.</w:t>
                          </w:r>
                          <w:r w:rsidRPr="00D44C06">
                            <w:rPr>
                              <w:rFonts w:ascii="Bliss-Regular" w:hAnsi="Bliss-Regular"/>
                              <w:sz w:val="20"/>
                              <w:szCs w:val="20"/>
                              <w:lang w:val="en-US"/>
                            </w:rPr>
                            <w:t xml:space="preserve"> 010 28961</w:t>
                          </w:r>
                          <w:r w:rsidR="009D2151" w:rsidRPr="00D44C06">
                            <w:rPr>
                              <w:rFonts w:ascii="Bliss-Regular" w:hAnsi="Bliss-Regular"/>
                              <w:sz w:val="20"/>
                              <w:szCs w:val="20"/>
                              <w:lang w:val="en-US"/>
                            </w:rPr>
                            <w:t xml:space="preserve"> Fax. 010 2897307</w:t>
                          </w:r>
                        </w:p>
                        <w:p w14:paraId="30F8E3D5" w14:textId="15F996AA" w:rsidR="00292DCE" w:rsidRDefault="00D44C06"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C.F. 97329350587 – P.I. 09198791007</w:t>
                          </w:r>
                        </w:p>
                        <w:p w14:paraId="14D67C99" w14:textId="77777777" w:rsidR="00D44C06" w:rsidRPr="00D44C06" w:rsidRDefault="00D44C06" w:rsidP="00292DCE">
                          <w:pPr>
                            <w:pStyle w:val="Footer"/>
                            <w:spacing w:line="240" w:lineRule="exact"/>
                            <w:rPr>
                              <w:rFonts w:ascii="Bliss-Regular" w:hAnsi="Bliss-Regular"/>
                              <w:sz w:val="20"/>
                              <w:szCs w:val="20"/>
                              <w:lang w:val="en-US"/>
                            </w:rPr>
                          </w:pPr>
                        </w:p>
                        <w:p w14:paraId="57492AE9" w14:textId="77777777" w:rsidR="00292DCE" w:rsidRPr="008D5540" w:rsidRDefault="00292DCE" w:rsidP="00292DCE">
                          <w:pPr>
                            <w:pStyle w:val="Footer"/>
                            <w:spacing w:line="240" w:lineRule="exact"/>
                            <w:rPr>
                              <w:rFonts w:ascii="Bliss-Regular" w:hAnsi="Bliss-Regular"/>
                              <w:sz w:val="20"/>
                              <w:szCs w:val="20"/>
                            </w:rPr>
                          </w:pPr>
                          <w:r w:rsidRPr="008D5540">
                            <w:rPr>
                              <w:rFonts w:ascii="Bliss-Regular" w:hAnsi="Bliss-Regular"/>
                              <w:sz w:val="20"/>
                              <w:szCs w:val="20"/>
                            </w:rPr>
                            <w:t>www.iit.it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AF6EA7"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9aFISECAAAeBAAADgAAAAAAAAAAAAAAAAAuAgAAZHJzL2Uyb0RvYy54bWxQ&#10;SwECLQAUAAYACAAAACEATt9Fud0AAAAHAQAADwAAAAAAAAAAAAAAAAB7BAAAZHJzL2Rvd25yZXYu&#10;eG1sUEsFBgAAAAAEAAQA8wAAAIUFAAAAAA==&#10;" stroked="f">
              <v:textbox style="mso-fit-shape-to-text:t">
                <w:txbxContent>
                  <w:p w14:paraId="6A77BF27" w14:textId="77777777" w:rsidR="00420F22" w:rsidRDefault="00C70592" w:rsidP="00292DCE">
                    <w:pPr>
                      <w:pStyle w:val="Footer"/>
                      <w:spacing w:line="240" w:lineRule="exact"/>
                      <w:rPr>
                        <w:rFonts w:ascii="Bliss-Regular" w:hAnsi="Bliss-Regular"/>
                        <w:sz w:val="20"/>
                        <w:szCs w:val="20"/>
                      </w:rPr>
                    </w:pPr>
                    <w:r>
                      <w:rPr>
                        <w:rFonts w:ascii="Bliss-Regular" w:hAnsi="Bliss-Regular"/>
                        <w:sz w:val="20"/>
                        <w:szCs w:val="20"/>
                      </w:rPr>
                      <w:t>Fondazione Istituto Italiano di Tecnologia</w:t>
                    </w:r>
                  </w:p>
                  <w:p w14:paraId="7B8105C3" w14:textId="65AA11A1" w:rsidR="00292DCE" w:rsidRPr="0019721E" w:rsidRDefault="00420F22" w:rsidP="00292DCE">
                    <w:pPr>
                      <w:pStyle w:val="Footer"/>
                      <w:spacing w:line="240" w:lineRule="exact"/>
                      <w:rPr>
                        <w:rFonts w:ascii="Bliss-Regular" w:hAnsi="Bliss-Regular"/>
                        <w:sz w:val="20"/>
                        <w:szCs w:val="20"/>
                      </w:rPr>
                    </w:pPr>
                    <w:r>
                      <w:rPr>
                        <w:rFonts w:ascii="Bliss-Regular" w:hAnsi="Bliss-Regular"/>
                        <w:sz w:val="20"/>
                        <w:szCs w:val="20"/>
                      </w:rPr>
                      <w:t xml:space="preserve">Sede Legale: </w:t>
                    </w:r>
                    <w:r w:rsidR="00292DCE">
                      <w:rPr>
                        <w:rFonts w:ascii="Bliss-Regular" w:hAnsi="Bliss-Regular"/>
                        <w:sz w:val="20"/>
                        <w:szCs w:val="20"/>
                      </w:rPr>
                      <w:t>Via Morego 30</w:t>
                    </w:r>
                    <w:r>
                      <w:rPr>
                        <w:rFonts w:ascii="Bliss-Regular" w:hAnsi="Bliss-Regular"/>
                        <w:sz w:val="20"/>
                        <w:szCs w:val="20"/>
                      </w:rPr>
                      <w:t xml:space="preserve"> - </w:t>
                    </w:r>
                    <w:r w:rsidR="00292DCE" w:rsidRPr="0019721E">
                      <w:rPr>
                        <w:rFonts w:ascii="Bliss-Regular" w:hAnsi="Bliss-Regular"/>
                        <w:sz w:val="20"/>
                        <w:szCs w:val="20"/>
                      </w:rPr>
                      <w:t>16163 Genova</w:t>
                    </w:r>
                  </w:p>
                  <w:p w14:paraId="1FC70433" w14:textId="0480D626" w:rsidR="00292DCE" w:rsidRPr="00D44C06" w:rsidRDefault="00292DCE"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Tel</w:t>
                    </w:r>
                    <w:r w:rsidR="009D2151" w:rsidRPr="00D44C06">
                      <w:rPr>
                        <w:rFonts w:ascii="Bliss-Regular" w:hAnsi="Bliss-Regular"/>
                        <w:sz w:val="20"/>
                        <w:szCs w:val="20"/>
                        <w:lang w:val="en-US"/>
                      </w:rPr>
                      <w:t>.</w:t>
                    </w:r>
                    <w:r w:rsidRPr="00D44C06">
                      <w:rPr>
                        <w:rFonts w:ascii="Bliss-Regular" w:hAnsi="Bliss-Regular"/>
                        <w:sz w:val="20"/>
                        <w:szCs w:val="20"/>
                        <w:lang w:val="en-US"/>
                      </w:rPr>
                      <w:t xml:space="preserve"> 010 28961</w:t>
                    </w:r>
                    <w:r w:rsidR="009D2151" w:rsidRPr="00D44C06">
                      <w:rPr>
                        <w:rFonts w:ascii="Bliss-Regular" w:hAnsi="Bliss-Regular"/>
                        <w:sz w:val="20"/>
                        <w:szCs w:val="20"/>
                        <w:lang w:val="en-US"/>
                      </w:rPr>
                      <w:t xml:space="preserve"> Fax. 010 2897307</w:t>
                    </w:r>
                  </w:p>
                  <w:p w14:paraId="30F8E3D5" w14:textId="15F996AA" w:rsidR="00292DCE" w:rsidRDefault="00D44C06"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C.F. 97329350587 – P.I. 09198791007</w:t>
                    </w:r>
                  </w:p>
                  <w:p w14:paraId="14D67C99" w14:textId="77777777" w:rsidR="00D44C06" w:rsidRPr="00D44C06" w:rsidRDefault="00D44C06" w:rsidP="00292DCE">
                    <w:pPr>
                      <w:pStyle w:val="Footer"/>
                      <w:spacing w:line="240" w:lineRule="exact"/>
                      <w:rPr>
                        <w:rFonts w:ascii="Bliss-Regular" w:hAnsi="Bliss-Regular"/>
                        <w:sz w:val="20"/>
                        <w:szCs w:val="20"/>
                        <w:lang w:val="en-US"/>
                      </w:rPr>
                    </w:pPr>
                  </w:p>
                  <w:p w14:paraId="57492AE9" w14:textId="77777777" w:rsidR="00292DCE" w:rsidRPr="008D5540" w:rsidRDefault="00292DCE" w:rsidP="00292DCE">
                    <w:pPr>
                      <w:pStyle w:val="Footer"/>
                      <w:spacing w:line="240" w:lineRule="exact"/>
                      <w:rPr>
                        <w:rFonts w:ascii="Bliss-Regular" w:hAnsi="Bliss-Regular"/>
                        <w:sz w:val="20"/>
                        <w:szCs w:val="20"/>
                      </w:rPr>
                    </w:pPr>
                    <w:r w:rsidRPr="008D5540">
                      <w:rPr>
                        <w:rFonts w:ascii="Bliss-Regular" w:hAnsi="Bliss-Regular"/>
                        <w:sz w:val="20"/>
                        <w:szCs w:val="20"/>
                      </w:rPr>
                      <w:t>www.iit.it</w:t>
                    </w:r>
                  </w:p>
                </w:txbxContent>
              </v:textbox>
              <w10:wrap type="square"/>
            </v:shape>
          </w:pict>
        </mc:Fallback>
      </mc:AlternateContent>
    </w:r>
    <w:r w:rsidR="00405DE9">
      <w:rPr>
        <w:noProof/>
      </w:rPr>
      <w:drawing>
        <wp:anchor distT="0" distB="0" distL="114300" distR="114300" simplePos="0" relativeHeight="251659264" behindDoc="0" locked="0" layoutInCell="1" allowOverlap="1" wp14:anchorId="3C4FEC95" wp14:editId="3F80664E">
          <wp:simplePos x="0" y="0"/>
          <wp:positionH relativeFrom="page">
            <wp:posOffset>66675</wp:posOffset>
          </wp:positionH>
          <wp:positionV relativeFrom="page">
            <wp:posOffset>9715500</wp:posOffset>
          </wp:positionV>
          <wp:extent cx="1440000" cy="522000"/>
          <wp:effectExtent l="0" t="0" r="8255" b="11430"/>
          <wp:wrapTight wrapText="bothSides">
            <wp:wrapPolygon edited="0">
              <wp:start x="0" y="0"/>
              <wp:lineTo x="0" y="21022"/>
              <wp:lineTo x="9147" y="21022"/>
              <wp:lineTo x="21343" y="19971"/>
              <wp:lineTo x="21343" y="7358"/>
              <wp:lineTo x="17150" y="2102"/>
              <wp:lineTo x="8766" y="0"/>
              <wp:lineTo x="0" y="0"/>
            </wp:wrapPolygon>
          </wp:wrapTight>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rotWithShape="1">
                  <a:blip r:embed="rId2" cstate="print">
                    <a:extLst>
                      <a:ext uri="{28A0092B-C50C-407E-A947-70E740481C1C}">
                        <a14:useLocalDpi xmlns:a14="http://schemas.microsoft.com/office/drawing/2010/main" val="0"/>
                      </a:ext>
                    </a:extLst>
                  </a:blip>
                  <a:srcRect l="6225" t="14133" r="4709" b="10307"/>
                  <a:stretch/>
                </pic:blipFill>
                <pic:spPr bwMode="auto">
                  <a:xfrm>
                    <a:off x="0" y="0"/>
                    <a:ext cx="14400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13C">
      <w:rPr>
        <w:noProof/>
        <w:color w:val="000000"/>
      </w:rPr>
      <w:drawing>
        <wp:inline distT="0" distB="0" distL="0" distR="0" wp14:anchorId="77CCC295" wp14:editId="4B695863">
          <wp:extent cx="7597140" cy="317422"/>
          <wp:effectExtent l="0" t="0" r="0" b="6985"/>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3"/>
                  <a:srcRect t="71596"/>
                  <a:stretch/>
                </pic:blipFill>
                <pic:spPr bwMode="auto">
                  <a:xfrm>
                    <a:off x="0" y="0"/>
                    <a:ext cx="7619697" cy="31836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3894" w14:textId="77777777" w:rsidR="00FD2710" w:rsidRDefault="00FD2710">
      <w:r>
        <w:separator/>
      </w:r>
    </w:p>
  </w:footnote>
  <w:footnote w:type="continuationSeparator" w:id="0">
    <w:p w14:paraId="60C817D4" w14:textId="77777777" w:rsidR="00FD2710" w:rsidRDefault="00FD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02" w14:textId="5040C14D" w:rsidR="001B213C" w:rsidRDefault="0051227C">
    <w:pPr>
      <w:pBdr>
        <w:top w:val="nil"/>
        <w:left w:val="nil"/>
        <w:bottom w:val="nil"/>
        <w:right w:val="nil"/>
        <w:between w:val="nil"/>
      </w:pBdr>
      <w:tabs>
        <w:tab w:val="center" w:pos="4819"/>
        <w:tab w:val="right" w:pos="9638"/>
      </w:tabs>
      <w:ind w:left="-1134" w:right="-1134"/>
      <w:rPr>
        <w:color w:val="000000"/>
      </w:rPr>
    </w:pPr>
    <w:r>
      <w:rPr>
        <w:noProof/>
      </w:rPr>
      <w:drawing>
        <wp:inline distT="0" distB="0" distL="0" distR="0" wp14:anchorId="5F448947" wp14:editId="13437C10">
          <wp:extent cx="7546325" cy="933450"/>
          <wp:effectExtent l="0" t="0" r="0" b="0"/>
          <wp:docPr id="1452740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40156" name=""/>
                  <pic:cNvPicPr/>
                </pic:nvPicPr>
                <pic:blipFill>
                  <a:blip r:embed="rId1"/>
                  <a:stretch>
                    <a:fillRect/>
                  </a:stretch>
                </pic:blipFill>
                <pic:spPr>
                  <a:xfrm>
                    <a:off x="0" y="0"/>
                    <a:ext cx="7566002" cy="935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47D"/>
    <w:multiLevelType w:val="multilevel"/>
    <w:tmpl w:val="762A8B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F095B"/>
    <w:multiLevelType w:val="multilevel"/>
    <w:tmpl w:val="143CA8A8"/>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FA21A8"/>
    <w:multiLevelType w:val="multilevel"/>
    <w:tmpl w:val="A258B13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numFmt w:val="bullet"/>
      <w:lvlText w:val="·"/>
      <w:lvlJc w:val="left"/>
      <w:pPr>
        <w:ind w:left="3240" w:hanging="360"/>
      </w:pPr>
      <w:rPr>
        <w:rFonts w:ascii="Calibri" w:eastAsia="Calibri" w:hAnsi="Calibri" w:cs="Calibri"/>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AAB61F1"/>
    <w:multiLevelType w:val="multilevel"/>
    <w:tmpl w:val="664033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D9E1D12"/>
    <w:multiLevelType w:val="multilevel"/>
    <w:tmpl w:val="01D48D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555FE4"/>
    <w:multiLevelType w:val="multilevel"/>
    <w:tmpl w:val="D7F8E19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004F05"/>
    <w:multiLevelType w:val="multilevel"/>
    <w:tmpl w:val="7ABE29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D24A1"/>
    <w:multiLevelType w:val="multilevel"/>
    <w:tmpl w:val="E7DEBB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07D4F"/>
    <w:multiLevelType w:val="multilevel"/>
    <w:tmpl w:val="156292D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B273BDD"/>
    <w:multiLevelType w:val="hybridMultilevel"/>
    <w:tmpl w:val="6F3246A0"/>
    <w:lvl w:ilvl="0" w:tplc="563A58BA">
      <w:numFmt w:val="bullet"/>
      <w:lvlText w:val="•"/>
      <w:lvlJc w:val="left"/>
      <w:pPr>
        <w:ind w:left="720" w:hanging="360"/>
      </w:pPr>
      <w:rPr>
        <w:rFonts w:ascii="Titillium" w:eastAsia="Titillium" w:hAnsi="Titillium" w:cs="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E5A21"/>
    <w:multiLevelType w:val="multilevel"/>
    <w:tmpl w:val="EFA67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04A21"/>
    <w:multiLevelType w:val="hybridMultilevel"/>
    <w:tmpl w:val="564C2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EE11F4"/>
    <w:multiLevelType w:val="multilevel"/>
    <w:tmpl w:val="FE2200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497F5A"/>
    <w:multiLevelType w:val="multilevel"/>
    <w:tmpl w:val="0AA6D38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911FE5"/>
    <w:multiLevelType w:val="multilevel"/>
    <w:tmpl w:val="86A03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9636E"/>
    <w:multiLevelType w:val="multilevel"/>
    <w:tmpl w:val="5A3E5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5A22E1"/>
    <w:multiLevelType w:val="multilevel"/>
    <w:tmpl w:val="94DAE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BF6773"/>
    <w:multiLevelType w:val="hybridMultilevel"/>
    <w:tmpl w:val="C1F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A3201"/>
    <w:multiLevelType w:val="hybridMultilevel"/>
    <w:tmpl w:val="11CA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0E507E"/>
    <w:multiLevelType w:val="multilevel"/>
    <w:tmpl w:val="6524949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0F15B4"/>
    <w:multiLevelType w:val="multilevel"/>
    <w:tmpl w:val="956E0F4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6907C5"/>
    <w:multiLevelType w:val="hybridMultilevel"/>
    <w:tmpl w:val="77DEF460"/>
    <w:lvl w:ilvl="0" w:tplc="87821AE6">
      <w:start w:val="1"/>
      <w:numFmt w:val="bullet"/>
      <w:lvlText w:val=""/>
      <w:lvlJc w:val="left"/>
      <w:pPr>
        <w:ind w:left="720" w:hanging="360"/>
      </w:pPr>
      <w:rPr>
        <w:rFonts w:ascii="Symbol" w:hAnsi="Symbol"/>
      </w:rPr>
    </w:lvl>
    <w:lvl w:ilvl="1" w:tplc="45461868">
      <w:start w:val="1"/>
      <w:numFmt w:val="bullet"/>
      <w:lvlText w:val=""/>
      <w:lvlJc w:val="left"/>
      <w:pPr>
        <w:ind w:left="720" w:hanging="360"/>
      </w:pPr>
      <w:rPr>
        <w:rFonts w:ascii="Symbol" w:hAnsi="Symbol"/>
      </w:rPr>
    </w:lvl>
    <w:lvl w:ilvl="2" w:tplc="91F62128">
      <w:start w:val="1"/>
      <w:numFmt w:val="bullet"/>
      <w:lvlText w:val=""/>
      <w:lvlJc w:val="left"/>
      <w:pPr>
        <w:ind w:left="720" w:hanging="360"/>
      </w:pPr>
      <w:rPr>
        <w:rFonts w:ascii="Symbol" w:hAnsi="Symbol"/>
      </w:rPr>
    </w:lvl>
    <w:lvl w:ilvl="3" w:tplc="83A83B50">
      <w:start w:val="1"/>
      <w:numFmt w:val="bullet"/>
      <w:lvlText w:val=""/>
      <w:lvlJc w:val="left"/>
      <w:pPr>
        <w:ind w:left="720" w:hanging="360"/>
      </w:pPr>
      <w:rPr>
        <w:rFonts w:ascii="Symbol" w:hAnsi="Symbol"/>
      </w:rPr>
    </w:lvl>
    <w:lvl w:ilvl="4" w:tplc="CC1AA60C">
      <w:start w:val="1"/>
      <w:numFmt w:val="bullet"/>
      <w:lvlText w:val=""/>
      <w:lvlJc w:val="left"/>
      <w:pPr>
        <w:ind w:left="720" w:hanging="360"/>
      </w:pPr>
      <w:rPr>
        <w:rFonts w:ascii="Symbol" w:hAnsi="Symbol"/>
      </w:rPr>
    </w:lvl>
    <w:lvl w:ilvl="5" w:tplc="B8BA509A">
      <w:start w:val="1"/>
      <w:numFmt w:val="bullet"/>
      <w:lvlText w:val=""/>
      <w:lvlJc w:val="left"/>
      <w:pPr>
        <w:ind w:left="720" w:hanging="360"/>
      </w:pPr>
      <w:rPr>
        <w:rFonts w:ascii="Symbol" w:hAnsi="Symbol"/>
      </w:rPr>
    </w:lvl>
    <w:lvl w:ilvl="6" w:tplc="771CEAA4">
      <w:start w:val="1"/>
      <w:numFmt w:val="bullet"/>
      <w:lvlText w:val=""/>
      <w:lvlJc w:val="left"/>
      <w:pPr>
        <w:ind w:left="720" w:hanging="360"/>
      </w:pPr>
      <w:rPr>
        <w:rFonts w:ascii="Symbol" w:hAnsi="Symbol"/>
      </w:rPr>
    </w:lvl>
    <w:lvl w:ilvl="7" w:tplc="2630644E">
      <w:start w:val="1"/>
      <w:numFmt w:val="bullet"/>
      <w:lvlText w:val=""/>
      <w:lvlJc w:val="left"/>
      <w:pPr>
        <w:ind w:left="720" w:hanging="360"/>
      </w:pPr>
      <w:rPr>
        <w:rFonts w:ascii="Symbol" w:hAnsi="Symbol"/>
      </w:rPr>
    </w:lvl>
    <w:lvl w:ilvl="8" w:tplc="6326FCBE">
      <w:start w:val="1"/>
      <w:numFmt w:val="bullet"/>
      <w:lvlText w:val=""/>
      <w:lvlJc w:val="left"/>
      <w:pPr>
        <w:ind w:left="720" w:hanging="360"/>
      </w:pPr>
      <w:rPr>
        <w:rFonts w:ascii="Symbol" w:hAnsi="Symbol"/>
      </w:rPr>
    </w:lvl>
  </w:abstractNum>
  <w:abstractNum w:abstractNumId="22" w15:restartNumberingAfterBreak="0">
    <w:nsid w:val="68985A6B"/>
    <w:multiLevelType w:val="multilevel"/>
    <w:tmpl w:val="E6E451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AD96500"/>
    <w:multiLevelType w:val="multilevel"/>
    <w:tmpl w:val="122A2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544AB8"/>
    <w:multiLevelType w:val="multilevel"/>
    <w:tmpl w:val="56DA7440"/>
    <w:lvl w:ilvl="0">
      <w:start w:val="3"/>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16CE4"/>
    <w:multiLevelType w:val="multilevel"/>
    <w:tmpl w:val="4C720E40"/>
    <w:lvl w:ilvl="0">
      <w:start w:val="1"/>
      <w:numFmt w:val="upperLetter"/>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22"/>
  </w:num>
  <w:num w:numId="4">
    <w:abstractNumId w:val="19"/>
  </w:num>
  <w:num w:numId="5">
    <w:abstractNumId w:val="24"/>
  </w:num>
  <w:num w:numId="6">
    <w:abstractNumId w:val="10"/>
  </w:num>
  <w:num w:numId="7">
    <w:abstractNumId w:val="15"/>
  </w:num>
  <w:num w:numId="8">
    <w:abstractNumId w:val="16"/>
  </w:num>
  <w:num w:numId="9">
    <w:abstractNumId w:val="25"/>
  </w:num>
  <w:num w:numId="10">
    <w:abstractNumId w:val="2"/>
  </w:num>
  <w:num w:numId="11">
    <w:abstractNumId w:val="5"/>
  </w:num>
  <w:num w:numId="12">
    <w:abstractNumId w:val="6"/>
  </w:num>
  <w:num w:numId="13">
    <w:abstractNumId w:val="23"/>
  </w:num>
  <w:num w:numId="14">
    <w:abstractNumId w:val="13"/>
  </w:num>
  <w:num w:numId="15">
    <w:abstractNumId w:val="3"/>
  </w:num>
  <w:num w:numId="16">
    <w:abstractNumId w:val="8"/>
  </w:num>
  <w:num w:numId="17">
    <w:abstractNumId w:val="20"/>
  </w:num>
  <w:num w:numId="18">
    <w:abstractNumId w:val="0"/>
  </w:num>
  <w:num w:numId="19">
    <w:abstractNumId w:val="4"/>
  </w:num>
  <w:num w:numId="20">
    <w:abstractNumId w:val="12"/>
  </w:num>
  <w:num w:numId="21">
    <w:abstractNumId w:val="14"/>
  </w:num>
  <w:num w:numId="22">
    <w:abstractNumId w:val="11"/>
  </w:num>
  <w:num w:numId="23">
    <w:abstractNumId w:val="17"/>
  </w:num>
  <w:num w:numId="24">
    <w:abstractNumId w:val="9"/>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22"/>
    <w:rsid w:val="00005893"/>
    <w:rsid w:val="0000750C"/>
    <w:rsid w:val="00017D44"/>
    <w:rsid w:val="00071204"/>
    <w:rsid w:val="00076093"/>
    <w:rsid w:val="00083A0C"/>
    <w:rsid w:val="00095D0A"/>
    <w:rsid w:val="000A23B1"/>
    <w:rsid w:val="000A4305"/>
    <w:rsid w:val="000A76A4"/>
    <w:rsid w:val="000E309A"/>
    <w:rsid w:val="0010675C"/>
    <w:rsid w:val="00127D6B"/>
    <w:rsid w:val="00161D68"/>
    <w:rsid w:val="00165DF4"/>
    <w:rsid w:val="00166ABE"/>
    <w:rsid w:val="001972C2"/>
    <w:rsid w:val="001B0BE6"/>
    <w:rsid w:val="001B1A7F"/>
    <w:rsid w:val="001B213C"/>
    <w:rsid w:val="001B2A8D"/>
    <w:rsid w:val="001F76BD"/>
    <w:rsid w:val="002238D7"/>
    <w:rsid w:val="002404C8"/>
    <w:rsid w:val="00255984"/>
    <w:rsid w:val="00255A40"/>
    <w:rsid w:val="00277921"/>
    <w:rsid w:val="00281095"/>
    <w:rsid w:val="00281B3C"/>
    <w:rsid w:val="0029030B"/>
    <w:rsid w:val="00292DCE"/>
    <w:rsid w:val="002A1B45"/>
    <w:rsid w:val="003400B5"/>
    <w:rsid w:val="00345C5F"/>
    <w:rsid w:val="003959A3"/>
    <w:rsid w:val="003B516C"/>
    <w:rsid w:val="003C3CCD"/>
    <w:rsid w:val="0040092E"/>
    <w:rsid w:val="00405DE9"/>
    <w:rsid w:val="0041489D"/>
    <w:rsid w:val="00420486"/>
    <w:rsid w:val="00420F22"/>
    <w:rsid w:val="00422D8F"/>
    <w:rsid w:val="00430542"/>
    <w:rsid w:val="0043314A"/>
    <w:rsid w:val="0044078E"/>
    <w:rsid w:val="00456CE8"/>
    <w:rsid w:val="0046262E"/>
    <w:rsid w:val="0046352F"/>
    <w:rsid w:val="00463B16"/>
    <w:rsid w:val="004A28D3"/>
    <w:rsid w:val="004B1AAA"/>
    <w:rsid w:val="004C7890"/>
    <w:rsid w:val="004D097A"/>
    <w:rsid w:val="004D0CA3"/>
    <w:rsid w:val="00503BDF"/>
    <w:rsid w:val="00511117"/>
    <w:rsid w:val="0051227C"/>
    <w:rsid w:val="00531BF1"/>
    <w:rsid w:val="00542FF9"/>
    <w:rsid w:val="00546AE5"/>
    <w:rsid w:val="005814E2"/>
    <w:rsid w:val="00584E2C"/>
    <w:rsid w:val="005D17EE"/>
    <w:rsid w:val="005D3715"/>
    <w:rsid w:val="005D6B0E"/>
    <w:rsid w:val="005E0AD5"/>
    <w:rsid w:val="00606C3A"/>
    <w:rsid w:val="00612D1E"/>
    <w:rsid w:val="00621FBF"/>
    <w:rsid w:val="006253AF"/>
    <w:rsid w:val="0063669C"/>
    <w:rsid w:val="0066085E"/>
    <w:rsid w:val="00666EF3"/>
    <w:rsid w:val="0067001F"/>
    <w:rsid w:val="00683E94"/>
    <w:rsid w:val="006A01D1"/>
    <w:rsid w:val="006B3DA0"/>
    <w:rsid w:val="006B520E"/>
    <w:rsid w:val="006B7D61"/>
    <w:rsid w:val="007051CC"/>
    <w:rsid w:val="007169C2"/>
    <w:rsid w:val="00737BD4"/>
    <w:rsid w:val="00785F8B"/>
    <w:rsid w:val="007877CE"/>
    <w:rsid w:val="007A7538"/>
    <w:rsid w:val="007B4340"/>
    <w:rsid w:val="00814029"/>
    <w:rsid w:val="00851D1D"/>
    <w:rsid w:val="00854E8C"/>
    <w:rsid w:val="00866F1D"/>
    <w:rsid w:val="00872474"/>
    <w:rsid w:val="00891203"/>
    <w:rsid w:val="00891A90"/>
    <w:rsid w:val="008E2461"/>
    <w:rsid w:val="009177CB"/>
    <w:rsid w:val="0092383B"/>
    <w:rsid w:val="00927139"/>
    <w:rsid w:val="009410B2"/>
    <w:rsid w:val="009435E0"/>
    <w:rsid w:val="00951051"/>
    <w:rsid w:val="00954DFA"/>
    <w:rsid w:val="00974C51"/>
    <w:rsid w:val="00992AE7"/>
    <w:rsid w:val="009A0D4C"/>
    <w:rsid w:val="009C18A7"/>
    <w:rsid w:val="009D2151"/>
    <w:rsid w:val="009D3D83"/>
    <w:rsid w:val="009D5CE6"/>
    <w:rsid w:val="009E18DF"/>
    <w:rsid w:val="00A15660"/>
    <w:rsid w:val="00A201C6"/>
    <w:rsid w:val="00A70254"/>
    <w:rsid w:val="00A91800"/>
    <w:rsid w:val="00A94CCC"/>
    <w:rsid w:val="00AA01CA"/>
    <w:rsid w:val="00AE19F7"/>
    <w:rsid w:val="00AF2CCE"/>
    <w:rsid w:val="00B10009"/>
    <w:rsid w:val="00B11F18"/>
    <w:rsid w:val="00B33BA9"/>
    <w:rsid w:val="00B62929"/>
    <w:rsid w:val="00B83EE5"/>
    <w:rsid w:val="00B948D5"/>
    <w:rsid w:val="00BA1FCB"/>
    <w:rsid w:val="00BB398E"/>
    <w:rsid w:val="00BC7196"/>
    <w:rsid w:val="00BC73CB"/>
    <w:rsid w:val="00BE4D7A"/>
    <w:rsid w:val="00C14855"/>
    <w:rsid w:val="00C52900"/>
    <w:rsid w:val="00C618C0"/>
    <w:rsid w:val="00C64666"/>
    <w:rsid w:val="00C70592"/>
    <w:rsid w:val="00C74A63"/>
    <w:rsid w:val="00C84822"/>
    <w:rsid w:val="00C94FF3"/>
    <w:rsid w:val="00C95616"/>
    <w:rsid w:val="00C9650D"/>
    <w:rsid w:val="00CA27A6"/>
    <w:rsid w:val="00CB0432"/>
    <w:rsid w:val="00CB1761"/>
    <w:rsid w:val="00CD2784"/>
    <w:rsid w:val="00CD4719"/>
    <w:rsid w:val="00CE1192"/>
    <w:rsid w:val="00CF3455"/>
    <w:rsid w:val="00CF3E39"/>
    <w:rsid w:val="00D4195C"/>
    <w:rsid w:val="00D44C06"/>
    <w:rsid w:val="00D56F8A"/>
    <w:rsid w:val="00D67218"/>
    <w:rsid w:val="00D74560"/>
    <w:rsid w:val="00D8431D"/>
    <w:rsid w:val="00DB2471"/>
    <w:rsid w:val="00DB488E"/>
    <w:rsid w:val="00DD4B66"/>
    <w:rsid w:val="00E25777"/>
    <w:rsid w:val="00E4349C"/>
    <w:rsid w:val="00E43ECA"/>
    <w:rsid w:val="00E44653"/>
    <w:rsid w:val="00E61B7C"/>
    <w:rsid w:val="00E63735"/>
    <w:rsid w:val="00E66143"/>
    <w:rsid w:val="00E66DB7"/>
    <w:rsid w:val="00EA78B8"/>
    <w:rsid w:val="00EB342F"/>
    <w:rsid w:val="00EE24EB"/>
    <w:rsid w:val="00F36AC9"/>
    <w:rsid w:val="00F70226"/>
    <w:rsid w:val="00F73F6C"/>
    <w:rsid w:val="00F80243"/>
    <w:rsid w:val="00F86361"/>
    <w:rsid w:val="00F97167"/>
    <w:rsid w:val="00FA12A8"/>
    <w:rsid w:val="00FD2710"/>
    <w:rsid w:val="00FE2085"/>
    <w:rsid w:val="00FE2B23"/>
    <w:rsid w:val="00FF3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6E5BF"/>
  <w15:docId w15:val="{97BC3572-38A8-4439-B35A-732CDBD1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6B"/>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unhideWhenUsed/>
    <w:qFormat/>
    <w:rsid w:val="003E0E6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next w:val="Normal"/>
    <w:link w:val="Heading3Char"/>
    <w:uiPriority w:val="9"/>
    <w:unhideWhenUsed/>
    <w:qFormat/>
    <w:rsid w:val="003E0E6B"/>
    <w:pPr>
      <w:keepNext/>
      <w:keepLines/>
      <w:spacing w:before="40" w:line="259" w:lineRule="auto"/>
      <w:outlineLvl w:val="2"/>
    </w:pPr>
    <w:rPr>
      <w:rFonts w:asciiTheme="majorHAnsi" w:eastAsiaTheme="majorEastAsia" w:hAnsiTheme="majorHAnsi" w:cstheme="majorBidi"/>
      <w:color w:val="1F3763" w:themeColor="accent1" w:themeShade="7F"/>
      <w:kern w:val="2"/>
    </w:rPr>
  </w:style>
  <w:style w:type="paragraph" w:styleId="Heading4">
    <w:name w:val="heading 4"/>
    <w:basedOn w:val="Normal"/>
    <w:next w:val="Normal"/>
    <w:link w:val="Heading4Char"/>
    <w:uiPriority w:val="9"/>
    <w:unhideWhenUsed/>
    <w:qFormat/>
    <w:rsid w:val="003E0E6B"/>
    <w:pPr>
      <w:keepNext/>
      <w:keepLines/>
      <w:spacing w:before="40" w:line="259" w:lineRule="auto"/>
      <w:outlineLvl w:val="3"/>
    </w:pPr>
    <w:rPr>
      <w:rFonts w:asciiTheme="majorHAnsi" w:eastAsiaTheme="majorEastAsia" w:hAnsiTheme="majorHAnsi" w:cstheme="majorBidi"/>
      <w:i/>
      <w:iCs/>
      <w:color w:val="2F5496" w:themeColor="accent1" w:themeShade="BF"/>
      <w:kern w:val="2"/>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E0E6B"/>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0151A3"/>
    <w:pPr>
      <w:tabs>
        <w:tab w:val="center" w:pos="4819"/>
        <w:tab w:val="right" w:pos="9638"/>
      </w:tabs>
    </w:pPr>
  </w:style>
  <w:style w:type="character" w:customStyle="1" w:styleId="HeaderChar">
    <w:name w:val="Header Char"/>
    <w:basedOn w:val="DefaultParagraphFont"/>
    <w:link w:val="Header"/>
    <w:uiPriority w:val="99"/>
    <w:rsid w:val="000151A3"/>
  </w:style>
  <w:style w:type="paragraph" w:styleId="Footer">
    <w:name w:val="footer"/>
    <w:basedOn w:val="Normal"/>
    <w:link w:val="FooterChar"/>
    <w:uiPriority w:val="99"/>
    <w:unhideWhenUsed/>
    <w:rsid w:val="000151A3"/>
    <w:pPr>
      <w:tabs>
        <w:tab w:val="center" w:pos="4819"/>
        <w:tab w:val="right" w:pos="9638"/>
      </w:tabs>
    </w:pPr>
  </w:style>
  <w:style w:type="character" w:customStyle="1" w:styleId="FooterChar">
    <w:name w:val="Footer Char"/>
    <w:basedOn w:val="DefaultParagraphFont"/>
    <w:link w:val="Footer"/>
    <w:uiPriority w:val="99"/>
    <w:rsid w:val="000151A3"/>
  </w:style>
  <w:style w:type="paragraph" w:styleId="ListParagraph">
    <w:name w:val="List Paragraph"/>
    <w:basedOn w:val="Normal"/>
    <w:uiPriority w:val="34"/>
    <w:qFormat/>
    <w:rsid w:val="000151A3"/>
    <w:pPr>
      <w:ind w:left="720"/>
      <w:contextualSpacing/>
    </w:pPr>
  </w:style>
  <w:style w:type="character" w:customStyle="1" w:styleId="Heading1Char">
    <w:name w:val="Heading 1 Char"/>
    <w:basedOn w:val="DefaultParagraphFont"/>
    <w:link w:val="Heading1"/>
    <w:uiPriority w:val="9"/>
    <w:rsid w:val="003E0E6B"/>
    <w:rPr>
      <w:rFonts w:asciiTheme="majorHAnsi" w:eastAsiaTheme="majorEastAsia" w:hAnsiTheme="majorHAnsi" w:cstheme="majorBidi"/>
      <w:color w:val="2F5496" w:themeColor="accent1" w:themeShade="BF"/>
      <w:kern w:val="2"/>
      <w:sz w:val="32"/>
      <w:szCs w:val="32"/>
    </w:rPr>
  </w:style>
  <w:style w:type="character" w:customStyle="1" w:styleId="Heading2Char">
    <w:name w:val="Heading 2 Char"/>
    <w:basedOn w:val="DefaultParagraphFont"/>
    <w:link w:val="Heading2"/>
    <w:uiPriority w:val="9"/>
    <w:rsid w:val="003E0E6B"/>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rsid w:val="003E0E6B"/>
    <w:rPr>
      <w:rFonts w:asciiTheme="majorHAnsi" w:eastAsiaTheme="majorEastAsia" w:hAnsiTheme="majorHAnsi" w:cstheme="majorBidi"/>
      <w:color w:val="1F3763" w:themeColor="accent1" w:themeShade="7F"/>
      <w:kern w:val="2"/>
    </w:rPr>
  </w:style>
  <w:style w:type="character" w:customStyle="1" w:styleId="Heading4Char">
    <w:name w:val="Heading 4 Char"/>
    <w:basedOn w:val="DefaultParagraphFont"/>
    <w:link w:val="Heading4"/>
    <w:uiPriority w:val="9"/>
    <w:rsid w:val="003E0E6B"/>
    <w:rPr>
      <w:rFonts w:asciiTheme="majorHAnsi" w:eastAsiaTheme="majorEastAsia" w:hAnsiTheme="majorHAnsi" w:cstheme="majorBidi"/>
      <w:i/>
      <w:iCs/>
      <w:color w:val="2F5496" w:themeColor="accent1" w:themeShade="BF"/>
      <w:kern w:val="2"/>
      <w:sz w:val="22"/>
      <w:szCs w:val="22"/>
    </w:rPr>
  </w:style>
  <w:style w:type="character" w:customStyle="1" w:styleId="TitleChar">
    <w:name w:val="Title Char"/>
    <w:basedOn w:val="DefaultParagraphFont"/>
    <w:link w:val="Title"/>
    <w:uiPriority w:val="1"/>
    <w:rsid w:val="003E0E6B"/>
    <w:rPr>
      <w:rFonts w:asciiTheme="majorHAnsi" w:eastAsiaTheme="majorEastAsia" w:hAnsiTheme="majorHAnsi" w:cstheme="majorBidi"/>
      <w:color w:val="404040" w:themeColor="text1" w:themeTint="BF"/>
      <w:spacing w:val="-10"/>
      <w:kern w:val="28"/>
      <w:sz w:val="56"/>
      <w:szCs w:val="56"/>
      <w:lang w:eastAsia="it-IT"/>
    </w:rPr>
  </w:style>
  <w:style w:type="paragraph" w:styleId="Subtitle">
    <w:name w:val="Subtitle"/>
    <w:basedOn w:val="Normal"/>
    <w:next w:val="Normal"/>
    <w:link w:val="SubtitleChar"/>
    <w:pPr>
      <w:pBdr>
        <w:top w:val="nil"/>
        <w:left w:val="nil"/>
        <w:bottom w:val="nil"/>
        <w:right w:val="nil"/>
        <w:between w:val="nil"/>
      </w:pBdr>
      <w:spacing w:after="160" w:line="259" w:lineRule="auto"/>
    </w:pPr>
    <w:rPr>
      <w:color w:val="5A5A5A"/>
      <w:sz w:val="22"/>
      <w:szCs w:val="22"/>
    </w:rPr>
  </w:style>
  <w:style w:type="character" w:customStyle="1" w:styleId="SubtitleChar">
    <w:name w:val="Subtitle Char"/>
    <w:basedOn w:val="DefaultParagraphFont"/>
    <w:link w:val="Subtitle"/>
    <w:uiPriority w:val="11"/>
    <w:rsid w:val="003E0E6B"/>
    <w:rPr>
      <w:rFonts w:eastAsiaTheme="minorEastAsia" w:cs="Times New Roman"/>
      <w:color w:val="5A5A5A" w:themeColor="text1" w:themeTint="A5"/>
      <w:spacing w:val="15"/>
      <w:sz w:val="22"/>
      <w:szCs w:val="22"/>
      <w:lang w:eastAsia="it-IT"/>
    </w:rPr>
  </w:style>
  <w:style w:type="paragraph" w:styleId="NoSpacing">
    <w:name w:val="No Spacing"/>
    <w:link w:val="NoSpacingChar"/>
    <w:uiPriority w:val="1"/>
    <w:qFormat/>
    <w:rsid w:val="003E0E6B"/>
    <w:rPr>
      <w:rFonts w:eastAsiaTheme="minorEastAsia"/>
      <w:sz w:val="22"/>
      <w:szCs w:val="22"/>
    </w:rPr>
  </w:style>
  <w:style w:type="character" w:customStyle="1" w:styleId="NoSpacingChar">
    <w:name w:val="No Spacing Char"/>
    <w:basedOn w:val="DefaultParagraphFont"/>
    <w:link w:val="NoSpacing"/>
    <w:uiPriority w:val="1"/>
    <w:rsid w:val="003E0E6B"/>
    <w:rPr>
      <w:rFonts w:eastAsiaTheme="minorEastAsia"/>
      <w:sz w:val="22"/>
      <w:szCs w:val="22"/>
      <w:lang w:eastAsia="it-IT"/>
    </w:rPr>
  </w:style>
  <w:style w:type="paragraph" w:styleId="TOCHeading">
    <w:name w:val="TOC Heading"/>
    <w:basedOn w:val="Heading1"/>
    <w:next w:val="Normal"/>
    <w:uiPriority w:val="39"/>
    <w:unhideWhenUsed/>
    <w:qFormat/>
    <w:rsid w:val="003E0E6B"/>
    <w:pPr>
      <w:outlineLvl w:val="9"/>
    </w:pPr>
    <w:rPr>
      <w:kern w:val="0"/>
    </w:rPr>
  </w:style>
  <w:style w:type="paragraph" w:styleId="TOC3">
    <w:name w:val="toc 3"/>
    <w:basedOn w:val="Normal"/>
    <w:next w:val="Normal"/>
    <w:autoRedefine/>
    <w:uiPriority w:val="39"/>
    <w:unhideWhenUsed/>
    <w:rsid w:val="003E0E6B"/>
    <w:pPr>
      <w:spacing w:after="100" w:line="259" w:lineRule="auto"/>
      <w:ind w:left="440"/>
    </w:pPr>
    <w:rPr>
      <w:kern w:val="2"/>
      <w:sz w:val="22"/>
      <w:szCs w:val="22"/>
    </w:rPr>
  </w:style>
  <w:style w:type="character" w:styleId="Hyperlink">
    <w:name w:val="Hyperlink"/>
    <w:basedOn w:val="DefaultParagraphFont"/>
    <w:uiPriority w:val="99"/>
    <w:unhideWhenUsed/>
    <w:rsid w:val="003E0E6B"/>
    <w:rPr>
      <w:color w:val="0563C1" w:themeColor="hyperlink"/>
      <w:u w:val="single"/>
    </w:rPr>
  </w:style>
  <w:style w:type="paragraph" w:styleId="TOC2">
    <w:name w:val="toc 2"/>
    <w:basedOn w:val="Normal"/>
    <w:next w:val="Normal"/>
    <w:autoRedefine/>
    <w:uiPriority w:val="39"/>
    <w:unhideWhenUsed/>
    <w:rsid w:val="003E0E6B"/>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3E0E6B"/>
    <w:pPr>
      <w:tabs>
        <w:tab w:val="right" w:leader="dot" w:pos="9628"/>
      </w:tabs>
      <w:spacing w:after="100" w:line="259" w:lineRule="auto"/>
    </w:pPr>
    <w:rPr>
      <w:rFonts w:eastAsiaTheme="minorEastAsia" w:cstheme="majorHAnsi"/>
      <w:caps/>
      <w:noProof/>
      <w:sz w:val="22"/>
      <w:szCs w:val="22"/>
      <w14:textOutline w14:w="9525" w14:cap="rnd" w14:cmpd="sng" w14:algn="ctr">
        <w14:solidFill>
          <w14:srgbClr w14:val="000000"/>
        </w14:solidFill>
        <w14:prstDash w14:val="solid"/>
        <w14:bevel/>
      </w14:textOutline>
    </w:rPr>
  </w:style>
  <w:style w:type="table" w:styleId="TableGrid">
    <w:name w:val="Table Grid"/>
    <w:basedOn w:val="TableNormal"/>
    <w:uiPriority w:val="39"/>
    <w:rsid w:val="003E0E6B"/>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0E6B"/>
    <w:pPr>
      <w:autoSpaceDE w:val="0"/>
      <w:autoSpaceDN w:val="0"/>
      <w:adjustRightInd w:val="0"/>
      <w:spacing w:line="268" w:lineRule="exact"/>
      <w:ind w:left="470"/>
    </w:pPr>
    <w:rPr>
      <w:rFonts w:ascii="Corbel" w:hAnsi="Corbel" w:cs="Corbel"/>
    </w:rPr>
  </w:style>
  <w:style w:type="paragraph" w:customStyle="1" w:styleId="Default">
    <w:name w:val="Default"/>
    <w:rsid w:val="003E0E6B"/>
    <w:pPr>
      <w:autoSpaceDE w:val="0"/>
      <w:autoSpaceDN w:val="0"/>
      <w:adjustRightInd w:val="0"/>
    </w:pPr>
    <w:rPr>
      <w:color w:val="000000"/>
    </w:rPr>
  </w:style>
  <w:style w:type="paragraph" w:styleId="Revision">
    <w:name w:val="Revision"/>
    <w:hidden/>
    <w:uiPriority w:val="99"/>
    <w:semiHidden/>
    <w:rsid w:val="003E0E6B"/>
    <w:rPr>
      <w:kern w:val="2"/>
      <w:sz w:val="22"/>
      <w:szCs w:val="22"/>
    </w:rPr>
  </w:style>
  <w:style w:type="character" w:styleId="CommentReference">
    <w:name w:val="annotation reference"/>
    <w:basedOn w:val="DefaultParagraphFont"/>
    <w:uiPriority w:val="99"/>
    <w:semiHidden/>
    <w:unhideWhenUsed/>
    <w:rsid w:val="003E0E6B"/>
    <w:rPr>
      <w:sz w:val="16"/>
      <w:szCs w:val="16"/>
    </w:rPr>
  </w:style>
  <w:style w:type="paragraph" w:styleId="CommentText">
    <w:name w:val="annotation text"/>
    <w:basedOn w:val="Normal"/>
    <w:link w:val="CommentTextChar"/>
    <w:uiPriority w:val="99"/>
    <w:unhideWhenUsed/>
    <w:rsid w:val="003E0E6B"/>
    <w:pPr>
      <w:spacing w:after="160"/>
    </w:pPr>
    <w:rPr>
      <w:kern w:val="2"/>
      <w:sz w:val="20"/>
      <w:szCs w:val="20"/>
    </w:rPr>
  </w:style>
  <w:style w:type="character" w:customStyle="1" w:styleId="CommentTextChar">
    <w:name w:val="Comment Text Char"/>
    <w:basedOn w:val="DefaultParagraphFont"/>
    <w:link w:val="CommentText"/>
    <w:uiPriority w:val="99"/>
    <w:rsid w:val="003E0E6B"/>
    <w:rPr>
      <w:kern w:val="2"/>
      <w:sz w:val="20"/>
      <w:szCs w:val="20"/>
    </w:rPr>
  </w:style>
  <w:style w:type="paragraph" w:styleId="CommentSubject">
    <w:name w:val="annotation subject"/>
    <w:basedOn w:val="CommentText"/>
    <w:next w:val="CommentText"/>
    <w:link w:val="CommentSubjectChar"/>
    <w:uiPriority w:val="99"/>
    <w:semiHidden/>
    <w:unhideWhenUsed/>
    <w:rsid w:val="003E0E6B"/>
    <w:rPr>
      <w:b/>
      <w:bCs/>
    </w:rPr>
  </w:style>
  <w:style w:type="character" w:customStyle="1" w:styleId="CommentSubjectChar">
    <w:name w:val="Comment Subject Char"/>
    <w:basedOn w:val="CommentTextChar"/>
    <w:link w:val="CommentSubject"/>
    <w:uiPriority w:val="99"/>
    <w:semiHidden/>
    <w:rsid w:val="003E0E6B"/>
    <w:rPr>
      <w:b/>
      <w:bCs/>
      <w:kern w:val="2"/>
      <w:sz w:val="20"/>
      <w:szCs w:val="20"/>
    </w:rPr>
  </w:style>
  <w:style w:type="paragraph" w:customStyle="1" w:styleId="Stile1">
    <w:name w:val="Stile1"/>
    <w:basedOn w:val="Subtitle"/>
    <w:link w:val="Stile1Carattere"/>
    <w:qFormat/>
    <w:rsid w:val="003E0E6B"/>
    <w:rPr>
      <w:color w:val="4472C4" w:themeColor="accent1"/>
    </w:rPr>
  </w:style>
  <w:style w:type="character" w:customStyle="1" w:styleId="Stile1Carattere">
    <w:name w:val="Stile1 Carattere"/>
    <w:basedOn w:val="SubtitleChar"/>
    <w:link w:val="Stile1"/>
    <w:rsid w:val="003E0E6B"/>
    <w:rPr>
      <w:rFonts w:eastAsiaTheme="minorEastAsia" w:cs="Times New Roman"/>
      <w:color w:val="4472C4" w:themeColor="accent1"/>
      <w:spacing w:val="15"/>
      <w:sz w:val="22"/>
      <w:szCs w:val="22"/>
      <w:lang w:eastAsia="it-IT"/>
    </w:rPr>
  </w:style>
  <w:style w:type="paragraph" w:styleId="EndnoteText">
    <w:name w:val="endnote text"/>
    <w:basedOn w:val="Normal"/>
    <w:link w:val="EndnoteTextChar"/>
    <w:uiPriority w:val="99"/>
    <w:semiHidden/>
    <w:unhideWhenUsed/>
    <w:rsid w:val="003E0E6B"/>
    <w:rPr>
      <w:kern w:val="2"/>
      <w:sz w:val="20"/>
      <w:szCs w:val="20"/>
    </w:rPr>
  </w:style>
  <w:style w:type="character" w:customStyle="1" w:styleId="EndnoteTextChar">
    <w:name w:val="Endnote Text Char"/>
    <w:basedOn w:val="DefaultParagraphFont"/>
    <w:link w:val="EndnoteText"/>
    <w:uiPriority w:val="99"/>
    <w:semiHidden/>
    <w:rsid w:val="003E0E6B"/>
    <w:rPr>
      <w:kern w:val="2"/>
      <w:sz w:val="20"/>
      <w:szCs w:val="20"/>
    </w:rPr>
  </w:style>
  <w:style w:type="character" w:styleId="EndnoteReference">
    <w:name w:val="endnote reference"/>
    <w:basedOn w:val="DefaultParagraphFont"/>
    <w:uiPriority w:val="99"/>
    <w:semiHidden/>
    <w:unhideWhenUsed/>
    <w:rsid w:val="003E0E6B"/>
    <w:rPr>
      <w:vertAlign w:val="superscript"/>
    </w:rPr>
  </w:style>
  <w:style w:type="paragraph" w:styleId="FootnoteText">
    <w:name w:val="footnote text"/>
    <w:basedOn w:val="Normal"/>
    <w:link w:val="FootnoteTextChar"/>
    <w:uiPriority w:val="99"/>
    <w:semiHidden/>
    <w:unhideWhenUsed/>
    <w:rsid w:val="003E0E6B"/>
    <w:rPr>
      <w:kern w:val="2"/>
      <w:sz w:val="20"/>
      <w:szCs w:val="20"/>
    </w:rPr>
  </w:style>
  <w:style w:type="character" w:customStyle="1" w:styleId="FootnoteTextChar">
    <w:name w:val="Footnote Text Char"/>
    <w:basedOn w:val="DefaultParagraphFont"/>
    <w:link w:val="FootnoteText"/>
    <w:uiPriority w:val="99"/>
    <w:semiHidden/>
    <w:rsid w:val="003E0E6B"/>
    <w:rPr>
      <w:kern w:val="2"/>
      <w:sz w:val="20"/>
      <w:szCs w:val="20"/>
    </w:rPr>
  </w:style>
  <w:style w:type="character" w:styleId="FootnoteReference">
    <w:name w:val="footnote reference"/>
    <w:basedOn w:val="DefaultParagraphFont"/>
    <w:uiPriority w:val="99"/>
    <w:semiHidden/>
    <w:unhideWhenUsed/>
    <w:rsid w:val="003E0E6B"/>
    <w:rPr>
      <w:vertAlign w:val="superscript"/>
    </w:rPr>
  </w:style>
  <w:style w:type="paragraph" w:styleId="Index1">
    <w:name w:val="index 1"/>
    <w:basedOn w:val="Normal"/>
    <w:next w:val="Normal"/>
    <w:autoRedefine/>
    <w:uiPriority w:val="99"/>
    <w:semiHidden/>
    <w:unhideWhenUsed/>
    <w:rsid w:val="003E0E6B"/>
    <w:pPr>
      <w:ind w:left="220" w:hanging="220"/>
    </w:pPr>
    <w:rPr>
      <w:kern w:val="2"/>
      <w:sz w:val="22"/>
      <w:szCs w:val="22"/>
    </w:rPr>
  </w:style>
  <w:style w:type="paragraph" w:styleId="BalloonText">
    <w:name w:val="Balloon Text"/>
    <w:basedOn w:val="Normal"/>
    <w:link w:val="BalloonTextChar"/>
    <w:uiPriority w:val="99"/>
    <w:semiHidden/>
    <w:unhideWhenUsed/>
    <w:rsid w:val="003E0E6B"/>
    <w:rPr>
      <w:rFonts w:ascii="Segoe UI" w:hAnsi="Segoe UI" w:cs="Segoe UI"/>
      <w:kern w:val="2"/>
      <w:sz w:val="18"/>
      <w:szCs w:val="18"/>
    </w:rPr>
  </w:style>
  <w:style w:type="character" w:customStyle="1" w:styleId="BalloonTextChar">
    <w:name w:val="Balloon Text Char"/>
    <w:basedOn w:val="DefaultParagraphFont"/>
    <w:link w:val="BalloonText"/>
    <w:uiPriority w:val="99"/>
    <w:semiHidden/>
    <w:rsid w:val="003E0E6B"/>
    <w:rPr>
      <w:rFonts w:ascii="Segoe UI" w:hAnsi="Segoe UI" w:cs="Segoe UI"/>
      <w:kern w:val="2"/>
      <w:sz w:val="18"/>
      <w:szCs w:val="18"/>
    </w:rPr>
  </w:style>
  <w:style w:type="character" w:customStyle="1" w:styleId="UnresolvedMention1">
    <w:name w:val="Unresolved Mention1"/>
    <w:basedOn w:val="DefaultParagraphFont"/>
    <w:uiPriority w:val="99"/>
    <w:semiHidden/>
    <w:unhideWhenUsed/>
    <w:rsid w:val="003E0E6B"/>
    <w:rPr>
      <w:color w:val="605E5C"/>
      <w:shd w:val="clear" w:color="auto" w:fill="E1DFDD"/>
    </w:rPr>
  </w:style>
  <w:style w:type="character" w:customStyle="1" w:styleId="UnresolvedMention2">
    <w:name w:val="Unresolved Mention2"/>
    <w:basedOn w:val="DefaultParagraphFont"/>
    <w:uiPriority w:val="99"/>
    <w:semiHidden/>
    <w:unhideWhenUsed/>
    <w:rsid w:val="003E0E6B"/>
    <w:rPr>
      <w:color w:val="605E5C"/>
      <w:shd w:val="clear" w:color="auto" w:fill="E1DFDD"/>
    </w:rPr>
  </w:style>
  <w:style w:type="paragraph" w:styleId="NormalWeb">
    <w:name w:val="Normal (Web)"/>
    <w:basedOn w:val="Normal"/>
    <w:uiPriority w:val="99"/>
    <w:unhideWhenUsed/>
    <w:rsid w:val="003E0E6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255F3C"/>
    <w:pPr>
      <w:widowControl w:val="0"/>
      <w:autoSpaceDE w:val="0"/>
      <w:autoSpaceDN w:val="0"/>
      <w:spacing w:before="120"/>
      <w:ind w:left="113"/>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255F3C"/>
    <w:rPr>
      <w:rFonts w:ascii="Times New Roman" w:eastAsia="Times New Roman" w:hAnsi="Times New Roman" w:cs="Times New Roman"/>
    </w:rPr>
  </w:style>
  <w:style w:type="table" w:customStyle="1" w:styleId="10">
    <w:name w:val="10"/>
    <w:basedOn w:val="TableNormal2"/>
    <w:tblPr>
      <w:tblStyleRowBandSize w:val="1"/>
      <w:tblStyleColBandSize w:val="1"/>
    </w:tblPr>
  </w:style>
  <w:style w:type="table" w:customStyle="1" w:styleId="9">
    <w:name w:val="9"/>
    <w:basedOn w:val="TableNormal2"/>
    <w:rPr>
      <w:sz w:val="22"/>
      <w:szCs w:val="22"/>
    </w:rPr>
    <w:tblPr>
      <w:tblStyleRowBandSize w:val="1"/>
      <w:tblStyleColBandSize w:val="1"/>
      <w:tblCellMar>
        <w:left w:w="108" w:type="dxa"/>
        <w:right w:w="108" w:type="dxa"/>
      </w:tblCellMar>
    </w:tblPr>
  </w:style>
  <w:style w:type="table" w:customStyle="1" w:styleId="8">
    <w:name w:val="8"/>
    <w:basedOn w:val="TableNormal2"/>
    <w:rPr>
      <w:sz w:val="22"/>
      <w:szCs w:val="22"/>
    </w:rPr>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Pr>
  </w:style>
  <w:style w:type="table" w:customStyle="1" w:styleId="5">
    <w:name w:val="5"/>
    <w:basedOn w:val="TableNormal2"/>
    <w:rPr>
      <w:sz w:val="22"/>
      <w:szCs w:val="22"/>
    </w:rPr>
    <w:tblPr>
      <w:tblStyleRowBandSize w:val="1"/>
      <w:tblStyleColBandSize w:val="1"/>
    </w:tblPr>
  </w:style>
  <w:style w:type="table" w:customStyle="1" w:styleId="4">
    <w:name w:val="4"/>
    <w:basedOn w:val="TableNormal2"/>
    <w:rPr>
      <w:sz w:val="22"/>
      <w:szCs w:val="22"/>
    </w:rPr>
    <w:tblPr>
      <w:tblStyleRowBandSize w:val="1"/>
      <w:tblStyleColBandSize w:val="1"/>
    </w:tblPr>
  </w:style>
  <w:style w:type="table" w:customStyle="1" w:styleId="3">
    <w:name w:val="3"/>
    <w:basedOn w:val="TableNormal2"/>
    <w:rPr>
      <w:sz w:val="22"/>
      <w:szCs w:val="22"/>
    </w:rPr>
    <w:tblPr>
      <w:tblStyleRowBandSize w:val="1"/>
      <w:tblStyleColBandSize w:val="1"/>
    </w:tblPr>
  </w:style>
  <w:style w:type="table" w:customStyle="1" w:styleId="2">
    <w:name w:val="2"/>
    <w:basedOn w:val="TableNormal2"/>
    <w:rPr>
      <w:sz w:val="22"/>
      <w:szCs w:val="22"/>
    </w:rPr>
    <w:tblPr>
      <w:tblStyleRowBandSize w:val="1"/>
      <w:tblStyleColBandSize w:val="1"/>
    </w:tblPr>
  </w:style>
  <w:style w:type="table" w:customStyle="1" w:styleId="1">
    <w:name w:val="1"/>
    <w:basedOn w:val="TableNormal2"/>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854E8C"/>
    <w:rPr>
      <w:color w:val="605E5C"/>
      <w:shd w:val="clear" w:color="auto" w:fill="E1DFDD"/>
    </w:rPr>
  </w:style>
  <w:style w:type="character" w:customStyle="1" w:styleId="ui-provider">
    <w:name w:val="ui-provider"/>
    <w:basedOn w:val="DefaultParagraphFont"/>
    <w:rsid w:val="00BB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8582">
      <w:bodyDiv w:val="1"/>
      <w:marLeft w:val="0"/>
      <w:marRight w:val="0"/>
      <w:marTop w:val="0"/>
      <w:marBottom w:val="0"/>
      <w:divBdr>
        <w:top w:val="none" w:sz="0" w:space="0" w:color="auto"/>
        <w:left w:val="none" w:sz="0" w:space="0" w:color="auto"/>
        <w:bottom w:val="none" w:sz="0" w:space="0" w:color="auto"/>
        <w:right w:val="none" w:sz="0" w:space="0" w:color="auto"/>
      </w:divBdr>
    </w:div>
    <w:div w:id="1031229573">
      <w:bodyDiv w:val="1"/>
      <w:marLeft w:val="0"/>
      <w:marRight w:val="0"/>
      <w:marTop w:val="0"/>
      <w:marBottom w:val="0"/>
      <w:divBdr>
        <w:top w:val="none" w:sz="0" w:space="0" w:color="auto"/>
        <w:left w:val="none" w:sz="0" w:space="0" w:color="auto"/>
        <w:bottom w:val="none" w:sz="0" w:space="0" w:color="auto"/>
        <w:right w:val="none" w:sz="0" w:space="0" w:color="auto"/>
      </w:divBdr>
    </w:div>
    <w:div w:id="1208302065">
      <w:bodyDiv w:val="1"/>
      <w:marLeft w:val="0"/>
      <w:marRight w:val="0"/>
      <w:marTop w:val="0"/>
      <w:marBottom w:val="0"/>
      <w:divBdr>
        <w:top w:val="none" w:sz="0" w:space="0" w:color="auto"/>
        <w:left w:val="none" w:sz="0" w:space="0" w:color="auto"/>
        <w:bottom w:val="none" w:sz="0" w:space="0" w:color="auto"/>
        <w:right w:val="none" w:sz="0" w:space="0" w:color="auto"/>
      </w:divBdr>
    </w:div>
    <w:div w:id="162739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JYdIKcsM1NvwFyWgS/rpy1cQ==">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BC05FD-38BC-470C-A484-BEF3CDC3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1657</Words>
  <Characters>9904</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Claudia Esposito</cp:lastModifiedBy>
  <cp:revision>4</cp:revision>
  <dcterms:created xsi:type="dcterms:W3CDTF">2023-11-29T10:39:00Z</dcterms:created>
  <dcterms:modified xsi:type="dcterms:W3CDTF">2023-11-30T08:42:00Z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y fmtid="{D5CDD505-2E9C-101B-9397-08002B2CF9AE}" pid="11" name="MSIP_Label_ea60d57e-af5b-4752-ac57-3e4f28ca11dc_Enabled">
    <vt:lpwstr>true</vt:lpwstr>
  </property>
  <property fmtid="{D5CDD505-2E9C-101B-9397-08002B2CF9AE}" pid="12" name="MSIP_Label_ea60d57e-af5b-4752-ac57-3e4f28ca11dc_SetDate">
    <vt:lpwstr>2023-09-13T12:24:45Z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08ff357b-a715-4249-be25-00cb635483e2</vt:lpwstr>
  </property>
  <property fmtid="{D5CDD505-2E9C-101B-9397-08002B2CF9AE}" pid="17" name="MSIP_Label_ea60d57e-af5b-4752-ac57-3e4f28ca11dc_ContentBits">
    <vt:lpwstr>0</vt:lpwstr>
  </property>
  <property fmtid="{D5CDD505-2E9C-101B-9397-08002B2CF9AE}" pid="18" name="GrammarlyDocumentId">
    <vt:lpwstr>648b1346cb82f4e0ea3443a2e96241c7ee18f59318211fb817ce28bef388c141</vt:lpwstr>
  </property>
</Properties>
</file>